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720"/>
      </w:pPr>
    </w:p>
    <w:p>
      <w:pPr>
        <w:spacing w:before="0" w:after="60"/>
      </w:pPr>
      <w:r>
        <w:rPr>
          <w:rFonts w:ascii="Calibri" w:hAnsi="Calibri"/>
          <w:b/>
          <w:i w:val="0"/>
          <w:caps/>
          <w:color w:val="0D887C"/>
          <w:sz w:val="18"/>
        </w:rPr>
        <w:t>FIRMENFÄHIGER EINFÜHRUNGSLEITFADEN</w:t>
      </w:r>
    </w:p>
    <w:p>
      <w:pPr>
        <w:keepNext/>
        <w:spacing w:before="360" w:after="120"/>
      </w:pPr>
      <w:r>
        <w:rPr>
          <w:rFonts w:ascii="Calibri" w:hAnsi="Calibri"/>
          <w:b/>
          <w:i w:val="0"/>
          <w:color w:val="0B1F2D"/>
          <w:sz w:val="60"/>
        </w:rPr>
        <w:t>Fuhrpark BI</w:t>
      </w:r>
    </w:p>
    <w:p>
      <w:pPr>
        <w:spacing w:after="360"/>
      </w:pPr>
      <w:r>
        <w:rPr>
          <w:rFonts w:ascii="Calibri" w:hAnsi="Calibri"/>
          <w:b w:val="0"/>
          <w:i w:val="0"/>
          <w:color w:val="64747C"/>
          <w:sz w:val="28"/>
        </w:rPr>
        <w:t>Vom Excel-/CSV-Paket zur sicheren Power-BI-App im Unternehmen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F5F2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0D887C"/>
                <w:sz w:val="21"/>
              </w:rPr>
              <w:t xml:space="preserve">Ziel: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Ein kontrollierter Pilot mit echten Daten, belastbaren Kennzahlen und klaren Verantwortlichkeiten - anschließend Veröffentlichung als Power-BI-App für definierte Zielgruppen.</w:t>
            </w:r>
          </w:p>
        </w:tc>
      </w:tr>
    </w:tbl>
    <w:p>
      <w:pPr>
        <w:spacing w:after="20"/>
      </w:pPr>
    </w:p>
    <w:p>
      <w:pPr>
        <w:spacing w:after="360"/>
      </w:pP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800"/>
        <w:gridCol w:w="3000"/>
        <w:gridCol w:w="4560"/>
      </w:tblGrid>
      <w:tr>
        <w:trPr>
          <w:tblHeader w:val="true"/>
        </w:trP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Paketstand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Geltungsbereich</w:t>
            </w:r>
          </w:p>
        </w:tc>
        <w:tc>
          <w:tcPr>
            <w:tcW w:type="dxa" w:w="45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Adressaten</w:t>
            </w:r>
          </w:p>
        </w:tc>
      </w:tr>
      <w:tr>
        <w:tc>
          <w:tcPr>
            <w:tcW w:type="dxa" w:w="18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9"/>
              </w:rPr>
              <w:t>12. August 2026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9"/>
              </w:rPr>
              <w:t>Mischfuhrpark, ca. 250 Fahrzeuge</w:t>
            </w:r>
          </w:p>
        </w:tc>
        <w:tc>
          <w:tcPr>
            <w:tcW w:type="dxa" w:w="45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9"/>
              </w:rPr>
              <w:t>Fuhrpark, Controlling, IT, Datenschutz</w:t>
            </w:r>
          </w:p>
        </w:tc>
      </w:tr>
    </w:tbl>
    <w:p>
      <w:pPr>
        <w:spacing w:after="40"/>
      </w:pPr>
    </w:p>
    <w:p>
      <w:pPr>
        <w:spacing w:after="320"/>
      </w:pPr>
    </w:p>
    <w:p>
      <w:pPr>
        <w:spacing w:after="80"/>
      </w:pPr>
      <w:r>
        <w:rPr>
          <w:rFonts w:ascii="Calibri" w:hAnsi="Calibri"/>
          <w:b/>
          <w:i w:val="0"/>
          <w:color w:val="0B1F2D"/>
          <w:sz w:val="22"/>
        </w:rPr>
        <w:t>Enthaltene Perspektiven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Management, CAPEX/OPEX/TCO, Kraftstoff und Energie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Fahrverhalten/Eco, Werkstatt, Reifen und Schäden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Leasing/Miete/Kauf, Kilometer, Modellvergleich, Budget und Einsparpotenziale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FF4D8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DDA72C"/>
                <w:sz w:val="21"/>
              </w:rPr>
              <w:t xml:space="preserve">Datenschutz: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Die öffentliche HTML-Demo bleibt ausschließlich mit Beispieldaten bestehen. Reale Firmen-, Fahrer-, Fahrzeug- und Kostendaten werden nur in der geschützten Power-BI-Umgebung verarbeitet.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</w:pPr>
      <w:r>
        <w:rPr>
          <w:rFonts w:ascii="Calibri" w:hAnsi="Calibri"/>
          <w:b/>
          <w:i w:val="0"/>
          <w:color w:val="0D887C"/>
          <w:sz w:val="32"/>
        </w:rPr>
        <w:t>1. Was bereits vorbereitet ist</w:t>
      </w:r>
    </w:p>
    <w:p>
      <w:pPr>
        <w:spacing w:after="200"/>
      </w:pPr>
      <w:r>
        <w:t>Das Paket trennt Demo, Datenvorbereitung und Firmenbetrieb sauber voneinander.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700"/>
        <w:gridCol w:w="3650"/>
        <w:gridCol w:w="4010"/>
      </w:tblGrid>
      <w:tr>
        <w:trPr>
          <w:tblHeader w:val="true"/>
        </w:trP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Baustein</w:t>
            </w:r>
          </w:p>
        </w:tc>
        <w:tc>
          <w:tcPr>
            <w:tcW w:type="dxa" w:w="36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Vorbereitet</w:t>
            </w:r>
          </w:p>
        </w:tc>
        <w:tc>
          <w:tcPr>
            <w:tcW w:type="dxa" w:w="40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In der Firma zu erledigen</w:t>
            </w:r>
          </w:p>
        </w:tc>
      </w:tr>
      <w:t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Datenmodell</w:t>
            </w:r>
          </w:p>
        </w:tc>
        <w:tc>
          <w:tcPr>
            <w:tcW w:type="dxa" w:w="36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Fahrzeugstamm, Verträge, Fahrer, Kilometer, Tank, Laden, Werkstatt, Reifen, Schäden, Kosten, Budget und Telematik</w:t>
            </w:r>
          </w:p>
        </w:tc>
        <w:tc>
          <w:tcPr>
            <w:tcW w:type="dxa" w:w="40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Eigene Daten einspielen und fachlich abnehmen</w:t>
            </w:r>
          </w:p>
        </w:tc>
      </w:tr>
      <w:tr>
        <w:tc>
          <w:tcPr>
            <w:tcW w:type="dxa" w:w="17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Schlüssel</w:t>
            </w:r>
          </w:p>
        </w:tc>
        <w:tc>
          <w:tcPr>
            <w:tcW w:type="dxa" w:w="365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FahrzeugID als zentraler 1:n-Schlüssel</w:t>
            </w:r>
          </w:p>
        </w:tc>
        <w:tc>
          <w:tcPr>
            <w:tcW w:type="dxa" w:w="401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Eindeutigkeit und Vollständigkeit prüfen</w:t>
            </w:r>
          </w:p>
        </w:tc>
      </w:tr>
      <w:t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Kennzahlen</w:t>
            </w:r>
          </w:p>
        </w:tc>
        <w:tc>
          <w:tcPr>
            <w:tcW w:type="dxa" w:w="36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Deutsche DAX-Measures für Verbrauch, Kosten, Zeit, Premium, Autobahn und Eco</w:t>
            </w:r>
          </w:p>
        </w:tc>
        <w:tc>
          <w:tcPr>
            <w:tcW w:type="dxa" w:w="40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Sollwerte, Grenzwerte und Budgets freigeben</w:t>
            </w:r>
          </w:p>
        </w:tc>
      </w:tr>
      <w:tr>
        <w:tc>
          <w:tcPr>
            <w:tcW w:type="dxa" w:w="17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Design</w:t>
            </w:r>
          </w:p>
        </w:tc>
        <w:tc>
          <w:tcPr>
            <w:tcW w:type="dxa" w:w="365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Power-BI-Theme und Menüstruktur mit zwölf Bereichen</w:t>
            </w:r>
          </w:p>
        </w:tc>
        <w:tc>
          <w:tcPr>
            <w:tcW w:type="dxa" w:w="401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Logo, Firmenfarben und Ansprechpartner ergänzen</w:t>
            </w:r>
          </w:p>
        </w:tc>
      </w:tr>
      <w:tr>
        <w:tc>
          <w:tcPr>
            <w:tcW w:type="dxa" w:w="17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Betrieb</w:t>
            </w:r>
          </w:p>
        </w:tc>
        <w:tc>
          <w:tcPr>
            <w:tcW w:type="dxa" w:w="365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SharePoint- und Netzwerk-/Gateway-Variante</w:t>
            </w:r>
          </w:p>
        </w:tc>
        <w:tc>
          <w:tcPr>
            <w:tcW w:type="dxa" w:w="401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Quelle, Credentials, Refresh und Support festlegen</w:t>
            </w:r>
          </w:p>
        </w:tc>
      </w:tr>
      <w:tr>
        <w:tc>
          <w:tcPr>
            <w:tcW w:type="dxa" w:w="17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Sicherheit</w:t>
            </w:r>
          </w:p>
        </w:tc>
        <w:tc>
          <w:tcPr>
            <w:tcW w:type="dxa" w:w="365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RLS-Muster und Zielgruppenmodell</w:t>
            </w:r>
          </w:p>
        </w:tc>
        <w:tc>
          <w:tcPr>
            <w:tcW w:type="dxa" w:w="401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Entra-Gruppen und App-Zugriff zuweisen</w:t>
            </w:r>
          </w:p>
        </w:tc>
      </w:tr>
    </w:tbl>
    <w:p>
      <w:pPr>
        <w:spacing w:after="40"/>
      </w:pP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Zielarchitektur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F5F2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0D887C"/>
                <w:sz w:val="21"/>
              </w:rPr>
              <w:t xml:space="preserve">Datenfluss: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Excel/CSV in SharePoint oder Netzlaufwerk -&gt; Power Query -&gt; Sternmodell und DAX -&gt; Power-BI-Bericht -&gt; Entwicklungsworkspace -&gt; Test -&gt; Power-BI-App.</w:t>
            </w:r>
          </w:p>
        </w:tc>
      </w:tr>
    </w:tbl>
    <w:p>
      <w:pPr>
        <w:spacing w:after="20"/>
      </w:pP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Bewusste Grenze dieses Pakets</w:t>
      </w:r>
    </w:p>
    <w:p>
      <w:pPr>
        <w:spacing w:after="160"/>
      </w:pPr>
      <w:r>
        <w:t>Eine fertige PBIX-Datei kann erst in Power BI Desktop erzeugt und gegen den Firmenmandanten getestet werden. Auf dem Erstellungsrechner ist Power BI Desktop nicht installiert. Workspace, Zugangsdaten, Gateway und App-Zielgruppen sind außerdem firmenspezifisch und dürfen nicht vorab erfunden werden.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FF4D8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DDA72C"/>
                <w:sz w:val="21"/>
              </w:rPr>
              <w:t xml:space="preserve">Ergebnis: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Ein BI-Entwickler kann mit diesem Paket unmittelbar starten, ohne Datenmodell, Theme, M-Abfragen, DAX, RLS und Abnahmekriterien neu konzipieren zu müssen.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</w:pPr>
      <w:r>
        <w:rPr>
          <w:rFonts w:ascii="Calibri" w:hAnsi="Calibri"/>
          <w:b/>
          <w:i w:val="0"/>
          <w:color w:val="0D887C"/>
          <w:sz w:val="32"/>
        </w:rPr>
        <w:t>2. Entscheidungen vor dem Pilot</w:t>
      </w:r>
    </w:p>
    <w:p>
      <w:pPr>
        <w:spacing w:after="200"/>
      </w:pPr>
      <w:r>
        <w:t>Ein 45-minütiger Starttermin mit Sponsor, Fuhrpark, Controlling und IT reicht für die Grundsatzentscheidungen.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200"/>
        <w:gridCol w:w="4720"/>
        <w:gridCol w:w="2440"/>
      </w:tblGrid>
      <w:tr>
        <w:trPr>
          <w:tblHeader w:val="true"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Entscheidung</w:t>
            </w:r>
          </w:p>
        </w:tc>
        <w:tc>
          <w:tcPr>
            <w:tcW w:type="dxa" w:w="47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Empfehlung</w:t>
            </w:r>
          </w:p>
        </w:tc>
        <w:tc>
          <w:tcPr>
            <w:tcW w:type="dxa" w:w="244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Freigabe durch</w:t>
            </w:r>
          </w:p>
        </w:tc>
      </w:tr>
      <w:t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Pilotumfang</w:t>
            </w:r>
          </w:p>
        </w:tc>
        <w:tc>
          <w:tcPr>
            <w:tcW w:type="dxa" w:w="47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Eine Gesellschaft, ein Standort, 20-40 Fahrzeuge, drei abgeschlossene Monate</w:t>
            </w:r>
          </w:p>
        </w:tc>
        <w:tc>
          <w:tcPr>
            <w:tcW w:type="dxa" w:w="244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Sponsor + Fuhrpark</w:t>
            </w:r>
          </w:p>
        </w:tc>
      </w:tr>
      <w:tr>
        <w:tc>
          <w:tcPr>
            <w:tcW w:type="dxa" w:w="22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Datenablage</w:t>
            </w:r>
          </w:p>
        </w:tc>
        <w:tc>
          <w:tcPr>
            <w:tcW w:type="dxa" w:w="472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SharePoint-Dokumentbibliothek; alternativ Netzlaufwerk mit Unternehmensgateway</w:t>
            </w:r>
          </w:p>
        </w:tc>
        <w:tc>
          <w:tcPr>
            <w:tcW w:type="dxa" w:w="244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IT</w:t>
            </w:r>
          </w:p>
        </w:tc>
      </w:tr>
      <w:t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Datenverantwortung</w:t>
            </w:r>
          </w:p>
        </w:tc>
        <w:tc>
          <w:tcPr>
            <w:tcW w:type="dxa" w:w="47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Je Quelle ein fachlicher Data Owner</w:t>
            </w:r>
          </w:p>
        </w:tc>
        <w:tc>
          <w:tcPr>
            <w:tcW w:type="dxa" w:w="244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Bereichsleitung</w:t>
            </w:r>
          </w:p>
        </w:tc>
      </w:tr>
      <w:tr>
        <w:tc>
          <w:tcPr>
            <w:tcW w:type="dxa" w:w="22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Sicherheitsmodell</w:t>
            </w:r>
          </w:p>
        </w:tc>
        <w:tc>
          <w:tcPr>
            <w:tcW w:type="dxa" w:w="472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Entra-Sicherheitsgruppen + dynamische RLS</w:t>
            </w:r>
          </w:p>
        </w:tc>
        <w:tc>
          <w:tcPr>
            <w:tcW w:type="dxa" w:w="244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IT Security + Datenschutz</w:t>
            </w:r>
          </w:p>
        </w:tc>
      </w:tr>
      <w:t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Refresh</w:t>
            </w:r>
          </w:p>
        </w:tc>
        <w:tc>
          <w:tcPr>
            <w:tcW w:type="dxa" w:w="47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Werktäglich nach Datenbereitstellung</w:t>
            </w:r>
          </w:p>
        </w:tc>
        <w:tc>
          <w:tcPr>
            <w:tcW w:type="dxa" w:w="244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Fuhrpark + IT</w:t>
            </w:r>
          </w:p>
        </w:tc>
      </w:tr>
      <w:tr>
        <w:tc>
          <w:tcPr>
            <w:tcW w:type="dxa" w:w="22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App-Zielgruppen</w:t>
            </w:r>
          </w:p>
        </w:tc>
        <w:tc>
          <w:tcPr>
            <w:tcW w:type="dxa" w:w="472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Management, Fuhrpark/Controlling, Standort/Kostenstelle</w:t>
            </w:r>
          </w:p>
        </w:tc>
        <w:tc>
          <w:tcPr>
            <w:tcW w:type="dxa" w:w="244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App Owner</w:t>
            </w:r>
          </w:p>
        </w:tc>
      </w:tr>
      <w:t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Lizenz</w:t>
            </w:r>
          </w:p>
        </w:tc>
        <w:tc>
          <w:tcPr>
            <w:tcW w:type="dxa" w:w="47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Pro/PPU oder geeignete Fabric-/Premium-Kapazität prüfen</w:t>
            </w:r>
          </w:p>
        </w:tc>
        <w:tc>
          <w:tcPr>
            <w:tcW w:type="dxa" w:w="244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Power-BI-Admin</w:t>
            </w:r>
          </w:p>
        </w:tc>
      </w:tr>
    </w:tbl>
    <w:p>
      <w:pPr>
        <w:spacing w:after="40"/>
      </w:pP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Mindestrollen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Sponsor: genehmigt Ziel, Pilotumfang und Go-live.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Product Owner Fuhrpark: priorisiert Kennzahlen und nimmt fachlich ab.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BI-Entwicklung: baut Modell, Bericht, DAX und App.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Data Owner: liefert und korrigiert Quelldaten.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Power-BI-/Gateway-Admin: richtet Workspace, Refresh, Gruppen und Betrieb ein.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Datenschutz/IT Security: prüft Fahrerbezug, Export und Berechtigungen.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Key User: testet reale Anwendungsfälle im Pilot.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FF4D8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DDA72C"/>
                <w:sz w:val="21"/>
              </w:rPr>
              <w:t xml:space="preserve">Lizenzhinweis: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Ersteller beziehungsweise App-Aktualisierer benötigen Power BI Pro oder PPU. App-Nutzer benötigen ohne geeignete Premium-/Fabric-Kapazität ebenfalls Pro oder PPU. Die konkrete Lizenzentscheidung trifft der Firmenadmin.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</w:pPr>
      <w:r>
        <w:rPr>
          <w:rFonts w:ascii="Calibri" w:hAnsi="Calibri"/>
          <w:b/>
          <w:i w:val="0"/>
          <w:color w:val="0D887C"/>
          <w:sz w:val="32"/>
        </w:rPr>
        <w:t>3. Datenablage und Aktualisierung</w:t>
      </w:r>
    </w:p>
    <w:p>
      <w:pPr>
        <w:spacing w:after="200"/>
      </w:pPr>
      <w:r>
        <w:t>Für eine Firma ist die Ablage wichtiger als die einzelne Excel-Datei: Sie bestimmt Sicherheit, Refresh und Vertretbarkeit.</w:t>
      </w: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Empfehlung A: SharePoint/OneDrive-Unternehmensbibliothek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Keine benutzergebundenen lokalen Pfade; Dateien sind für Vertretungen erreichbar.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Power BI verwendet Organisationskonto und SharePoint.Files.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Berechtigungen werden über Microsoft-365-Gruppen verwaltet.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Geeignet, wenn Tankkarten-, Stammdaten- und Telematikdateien regelmäßig als Dateien bereitgestellt werden.</w:t>
      </w: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Alternative B: Netzwerkordner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Standard-Unternehmensgateway auf einem dauerhaft verfügbaren Windows-Server installieren.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Gateway-Dienstkonto erhält Leserechte auf den Datenordner, nicht auf persönliche Downloads.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Alle benötigten lokalen und gegebenenfalls zusammengeführten Cloudquellen im gleichen Gateway sauber konfigurieren.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Persönlichen Gateway-Modus nicht als Produktionsstandard verwenden.</w:t>
      </w: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Vorgeschlagene Ordnerstruktur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300"/>
        <w:gridCol w:w="4500"/>
        <w:gridCol w:w="2560"/>
      </w:tblGrid>
      <w:tr>
        <w:trPr>
          <w:tblHeader w:val="true"/>
        </w:trP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Ordner</w:t>
            </w:r>
          </w:p>
        </w:tc>
        <w:tc>
          <w:tcPr>
            <w:tcW w:type="dxa" w:w="4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Inhalt</w:t>
            </w:r>
          </w:p>
        </w:tc>
        <w:tc>
          <w:tcPr>
            <w:tcW w:type="dxa" w:w="25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Schreibrecht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Daten/Stammdaten</w:t>
            </w:r>
          </w:p>
        </w:tc>
        <w:tc>
          <w:tcPr>
            <w:tcW w:type="dxa" w:w="4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Fahrzeuge, Fahrer, Produkte, Tankstellen, Kostenstellen</w:t>
            </w:r>
          </w:p>
        </w:tc>
        <w:tc>
          <w:tcPr>
            <w:tcW w:type="dxa" w:w="25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Data Owner Stammdaten</w:t>
            </w:r>
          </w:p>
        </w:tc>
      </w:tr>
      <w:tr>
        <w:tc>
          <w:tcPr>
            <w:tcW w:type="dxa" w:w="23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Daten/Tankvorgaenge</w:t>
            </w:r>
          </w:p>
        </w:tc>
        <w:tc>
          <w:tcPr>
            <w:tcW w:type="dxa" w:w="4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laufende Tankkarten-CSVs</w:t>
            </w:r>
          </w:p>
        </w:tc>
        <w:tc>
          <w:tcPr>
            <w:tcW w:type="dxa" w:w="25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Tankkartenverantwortliche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Daten/Telematik</w:t>
            </w:r>
          </w:p>
        </w:tc>
        <w:tc>
          <w:tcPr>
            <w:tcW w:type="dxa" w:w="4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OBD-/Telematik-CSVs</w:t>
            </w:r>
          </w:p>
        </w:tc>
        <w:tc>
          <w:tcPr>
            <w:tcW w:type="dxa" w:w="25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Telematikverantwortliche</w:t>
            </w:r>
          </w:p>
        </w:tc>
      </w:tr>
      <w:tr>
        <w:tc>
          <w:tcPr>
            <w:tcW w:type="dxa" w:w="23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Daten/Kosten</w:t>
            </w:r>
          </w:p>
        </w:tc>
        <w:tc>
          <w:tcPr>
            <w:tcW w:type="dxa" w:w="4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Werkstatt, Reifen, Schäden, Versicherungen, Sonstiges</w:t>
            </w:r>
          </w:p>
        </w:tc>
        <w:tc>
          <w:tcPr>
            <w:tcW w:type="dxa" w:w="25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Controlling/Data Owner</w:t>
            </w:r>
          </w:p>
        </w:tc>
      </w:tr>
      <w:tr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Daten/Budget</w:t>
            </w:r>
          </w:p>
        </w:tc>
        <w:tc>
          <w:tcPr>
            <w:tcW w:type="dxa" w:w="4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Monatsbudgets und Forecast</w:t>
            </w:r>
          </w:p>
        </w:tc>
        <w:tc>
          <w:tcPr>
            <w:tcW w:type="dxa" w:w="25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Controlling</w:t>
            </w:r>
          </w:p>
        </w:tc>
      </w:tr>
      <w:tr>
        <w:tc>
          <w:tcPr>
            <w:tcW w:type="dxa" w:w="23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Archiv</w:t>
            </w:r>
          </w:p>
        </w:tc>
        <w:tc>
          <w:tcPr>
            <w:tcW w:type="dxa" w:w="4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verarbeitete oder ersetzte Quelldateien</w:t>
            </w:r>
          </w:p>
        </w:tc>
        <w:tc>
          <w:tcPr>
            <w:tcW w:type="dxa" w:w="25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automatisiert/Administrator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rPr>
          <w:rFonts w:ascii="Calibri" w:hAnsi="Calibri"/>
          <w:b/>
          <w:i w:val="0"/>
          <w:color w:val="0D887C"/>
          <w:sz w:val="32"/>
        </w:rPr>
        <w:t>4. Bericht in Power BI Desktop aufbauen</w:t>
      </w:r>
    </w:p>
    <w:p>
      <w:pPr>
        <w:spacing w:after="200"/>
      </w:pPr>
      <w:r>
        <w:t>Die Reihenfolge verhindert spätere Umbauten und macht den Bericht prüfbar.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Arbeitsdatei anlegen. </w:t>
      </w:r>
      <w:r>
        <w:rPr>
          <w:rFonts w:ascii="Calibri" w:hAnsi="Calibri"/>
          <w:b w:val="0"/>
          <w:i w:val="0"/>
          <w:color w:val="14252E"/>
          <w:sz w:val="22"/>
        </w:rPr>
        <w:t>Neue PBIX öffnen und zunächst im Entwicklungsordner der Firma speichern.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Theme importieren. </w:t>
      </w:r>
      <w:r>
        <w:rPr>
          <w:rFonts w:ascii="Calibri" w:hAnsi="Calibri"/>
          <w:b w:val="0"/>
          <w:i w:val="0"/>
          <w:color w:val="14252E"/>
          <w:sz w:val="22"/>
        </w:rPr>
        <w:t>Ansicht &gt; Designs &gt; Designs durchsuchen &gt; FuhrparkBI_Theme.json.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Parameter anlegen. </w:t>
      </w:r>
      <w:r>
        <w:rPr>
          <w:rFonts w:ascii="Calibri" w:hAnsi="Calibri"/>
          <w:b w:val="0"/>
          <w:i w:val="0"/>
          <w:color w:val="14252E"/>
          <w:sz w:val="22"/>
        </w:rPr>
        <w:t>pQuellenart, pSharePointSite, pNetzwerkOrdner und pStammdatenDatei gemäß 00_PARAMETER_ANLEGEN.txt.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Power-Query-Abfragen einfügen. </w:t>
      </w:r>
      <w:r>
        <w:rPr>
          <w:rFonts w:ascii="Calibri" w:hAnsi="Calibri"/>
          <w:b w:val="0"/>
          <w:i w:val="0"/>
          <w:color w:val="14252E"/>
          <w:sz w:val="22"/>
        </w:rPr>
        <w:t>fxDateien zuerst, danach Fahrzeuge, Tankvorgaenge, Telematik und Kalender. Weitere Kostenquellen nach demselben Muster ergänzen.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Datenqualität prüfen. </w:t>
      </w:r>
      <w:r>
        <w:rPr>
          <w:rFonts w:ascii="Calibri" w:hAnsi="Calibri"/>
          <w:b w:val="0"/>
          <w:i w:val="0"/>
          <w:color w:val="14252E"/>
          <w:sz w:val="22"/>
        </w:rPr>
        <w:t>Fehlende FahrzeugIDs, Dubletten, Typfehler, leere Datumswerte und nicht zugeordnete Produkte als separate Prüfqueries ausgeben.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Sternmodell verbinden. </w:t>
      </w:r>
      <w:r>
        <w:rPr>
          <w:rFonts w:ascii="Calibri" w:hAnsi="Calibri"/>
          <w:b w:val="0"/>
          <w:i w:val="0"/>
          <w:color w:val="14252E"/>
          <w:sz w:val="22"/>
        </w:rPr>
        <w:t>Dimensionen auf der 1-Seite; Faktentabellen auf der n-Seite; Filterrichtung grundsätzlich einfach.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Datumstabelle markieren. </w:t>
      </w:r>
      <w:r>
        <w:rPr>
          <w:rFonts w:ascii="Calibri" w:hAnsi="Calibri"/>
          <w:b w:val="0"/>
          <w:i w:val="0"/>
          <w:color w:val="14252E"/>
          <w:sz w:val="22"/>
        </w:rPr>
        <w:t>Kalender[Datum] als Datumstabelle kennzeichnen; Monat und Wochentag fachlich sortieren.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DAX einfügen. </w:t>
      </w:r>
      <w:r>
        <w:rPr>
          <w:rFonts w:ascii="Calibri" w:hAnsi="Calibri"/>
          <w:b w:val="0"/>
          <w:i w:val="0"/>
          <w:color w:val="14252E"/>
          <w:sz w:val="22"/>
        </w:rPr>
        <w:t>Fuhrpark_Measures.dax in einer eigenen Measure-Tabelle anlegen und Formate setzen.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Zwölf Berichtseiten bauen. </w:t>
      </w:r>
      <w:r>
        <w:rPr>
          <w:rFonts w:ascii="Calibri" w:hAnsi="Calibri"/>
          <w:b w:val="0"/>
          <w:i w:val="0"/>
          <w:color w:val="14252E"/>
          <w:sz w:val="22"/>
        </w:rPr>
        <w:t>Seiten-Navigator als Raster, ohne Nummern; global synchronisierte Slicer; Detailtabellen mit FahrzeugID.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RLS konfigurieren. </w:t>
      </w:r>
      <w:r>
        <w:rPr>
          <w:rFonts w:ascii="Calibri" w:hAnsi="Calibri"/>
          <w:b w:val="0"/>
          <w:i w:val="0"/>
          <w:color w:val="14252E"/>
          <w:sz w:val="22"/>
        </w:rPr>
        <w:t>Rolle RLS_Fuhrpark anlegen und mit Testkonten positiv und negativ testen.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Performance prüfen. </w:t>
      </w:r>
      <w:r>
        <w:rPr>
          <w:rFonts w:ascii="Calibri" w:hAnsi="Calibri"/>
          <w:b w:val="0"/>
          <w:i w:val="0"/>
          <w:color w:val="14252E"/>
          <w:sz w:val="22"/>
        </w:rPr>
        <w:t>Unnötige Spalten entfernen, Auto Date/Time deaktivieren, Kardinalität und Visualanzahl kontrollieren.</w:t>
      </w:r>
    </w:p>
    <w:p>
      <w:pPr>
        <w:numPr>
          <w:ilvl w:val="0"/>
          <w:numId w:val="10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Veröffentlichen. </w:t>
      </w:r>
      <w:r>
        <w:rPr>
          <w:rFonts w:ascii="Calibri" w:hAnsi="Calibri"/>
          <w:b w:val="0"/>
          <w:i w:val="0"/>
          <w:color w:val="14252E"/>
          <w:sz w:val="22"/>
        </w:rPr>
        <w:t>Zuerst ausschließlich in den Entwicklungsworkspace; App erst nach dokumentierter Abnahme aktualisieren.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F5F2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0D887C"/>
                <w:sz w:val="21"/>
              </w:rPr>
              <w:t xml:space="preserve">Menü: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Im Seiten-Navigator Orientierung Grid verwenden. Alle zwölf Seiten direkt sichtbar machen, führende Nummern aus den Seitennamen entfernen und den ausgewählten Zustand mit der Abschnittsfarbe hervorheben.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</w:pPr>
      <w:r>
        <w:rPr>
          <w:rFonts w:ascii="Calibri" w:hAnsi="Calibri"/>
          <w:b/>
          <w:i w:val="0"/>
          <w:color w:val="0D887C"/>
          <w:sz w:val="32"/>
        </w:rPr>
        <w:t>5. Datenmodell und fachliche Abnahme</w:t>
      </w:r>
    </w:p>
    <w:p>
      <w:pPr>
        <w:spacing w:after="200"/>
      </w:pPr>
      <w:r>
        <w:t>Eine Kennzahl gilt erst dann als produktionsreif, wenn Definition, Quelle, Filterverhalten und Kontrollsumme feststehen.</w:t>
      </w: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Zentrale Modellregeln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FahrzeugID ist der unveränderliche Schlüssel. Kennzeichen und VIN sind Attribute.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Jede Faktentabelle enthält FahrzeugID und ein fachlich verwendbares Datum.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Fahrerzuordnungen werden historisiert, wenn Fahrerwechsel rückwirkend korrekt bleiben müssen.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Vertragslaufzeit wird über Vertragsbeginn und Vertragsende, nicht über den aktuellen Fahrzeugstatus, ausgewertet.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Vergleichsgruppen für Eco bestehen aus Modell, Kilometergruppe und Einsatzprofil.</w:t>
      </w: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Kennzahlen mit besonderer Freigabepflicht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100"/>
        <w:gridCol w:w="4760"/>
        <w:gridCol w:w="2500"/>
      </w:tblGrid>
      <w:tr>
        <w:trPr>
          <w:tblHeader w:val="true"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Kennzahl</w:t>
            </w:r>
          </w:p>
        </w:tc>
        <w:tc>
          <w:tcPr>
            <w:tcW w:type="dxa" w:w="47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Definition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Abnahme</w:t>
            </w:r>
          </w:p>
        </w:tc>
      </w:tr>
      <w:t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TCO</w:t>
            </w:r>
          </w:p>
        </w:tc>
        <w:tc>
          <w:tcPr>
            <w:tcW w:type="dxa" w:w="47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CAPEX/Wertverlust beziehungsweise Rate plus alle zurechenbaren OPEX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Controlling</w:t>
            </w:r>
          </w:p>
        </w:tc>
      </w:tr>
      <w:tr>
        <w:tc>
          <w:tcPr>
            <w:tcW w:type="dxa" w:w="21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Liter/100 km</w:t>
            </w:r>
          </w:p>
        </w:tc>
        <w:tc>
          <w:tcPr>
            <w:tcW w:type="dxa" w:w="47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Kraftstoffliter geteilt durch belastbare Kilometerdifferenz mal 100</w:t>
            </w:r>
          </w:p>
        </w:tc>
        <w:tc>
          <w:tcPr>
            <w:tcW w:type="dxa" w:w="2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Fuhrpark</w:t>
            </w:r>
          </w:p>
        </w:tc>
      </w:tr>
      <w:t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Autobahn-Mehrkosten</w:t>
            </w:r>
          </w:p>
        </w:tc>
        <w:tc>
          <w:tcPr>
            <w:tcW w:type="dxa" w:w="47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Autobahnkosten minus Autobahnliter mal Nicht-Autobahn-Durchschnittspreis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Fuhrpark + Einkauf</w:t>
            </w:r>
          </w:p>
        </w:tc>
      </w:tr>
      <w:tr>
        <w:tc>
          <w:tcPr>
            <w:tcW w:type="dxa" w:w="21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Premium-Mehrkosten</w:t>
            </w:r>
          </w:p>
        </w:tc>
        <w:tc>
          <w:tcPr>
            <w:tcW w:type="dxa" w:w="47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Premiumliter mal Preisaufschlag zur freigegebenen Referenz</w:t>
            </w:r>
          </w:p>
        </w:tc>
        <w:tc>
          <w:tcPr>
            <w:tcW w:type="dxa" w:w="2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Fuhrpark + Einkauf</w:t>
            </w:r>
          </w:p>
        </w:tc>
      </w:tr>
      <w:t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Eco-Ausreißer</w:t>
            </w:r>
          </w:p>
        </w:tc>
        <w:tc>
          <w:tcPr>
            <w:tcW w:type="dxa" w:w="47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mehr als 10 % über Peer-Gruppe und mindestens 1.000 Vergleichskilometer</w:t>
            </w:r>
          </w:p>
        </w:tc>
        <w:tc>
          <w:tcPr>
            <w:tcW w:type="dxa" w:w="2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Fuhrpark + Datenschutz</w:t>
            </w:r>
          </w:p>
        </w:tc>
      </w:tr>
      <w:tr>
        <w:tc>
          <w:tcPr>
            <w:tcW w:type="dxa" w:w="21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Budgetabweichung</w:t>
            </w:r>
          </w:p>
        </w:tc>
        <w:tc>
          <w:tcPr>
            <w:tcW w:type="dxa" w:w="47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Ist minus freigegebenes Monatsbudget</w:t>
            </w:r>
          </w:p>
        </w:tc>
        <w:tc>
          <w:tcPr>
            <w:tcW w:type="dxa" w:w="2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Controlling</w:t>
            </w:r>
          </w:p>
        </w:tc>
      </w:tr>
    </w:tbl>
    <w:p>
      <w:pPr>
        <w:spacing w:after="40"/>
      </w:pP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FF4D8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DDA72C"/>
                <w:sz w:val="21"/>
              </w:rPr>
              <w:t xml:space="preserve">Kontrollprinzip: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Gesamtkosten, Liter, Fahrzeuganzahl und Kilometer werden vor Go-live jeweils gegen eine unabhängige Quellenauswertung abgestimmt. Differenzen müssen erklärt und dokumentiert sein.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</w:pPr>
      <w:r>
        <w:rPr>
          <w:rFonts w:ascii="Calibri" w:hAnsi="Calibri"/>
          <w:b/>
          <w:i w:val="0"/>
          <w:color w:val="0D887C"/>
          <w:sz w:val="32"/>
        </w:rPr>
        <w:t>6. Sicherheit, Rollen und App-Zielgruppen</w:t>
      </w:r>
    </w:p>
    <w:p>
      <w:pPr>
        <w:spacing w:after="200"/>
      </w:pPr>
      <w:r>
        <w:t>Die App ist der sichere Verteiler. Workspace-Zugriff bleibt auf Ersteller und Administratoren begrenzt.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900"/>
        <w:gridCol w:w="4260"/>
        <w:gridCol w:w="3200"/>
      </w:tblGrid>
      <w:tr>
        <w:trPr>
          <w:tblHeader w:val="true"/>
        </w:trPr>
        <w:tc>
          <w:tcPr>
            <w:tcW w:type="dxa" w:w="1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Gruppe</w:t>
            </w:r>
          </w:p>
        </w:tc>
        <w:tc>
          <w:tcPr>
            <w:tcW w:type="dxa" w:w="42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Inhalt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Rechte</w:t>
            </w:r>
          </w:p>
        </w:tc>
      </w:tr>
      <w:tr>
        <w:tc>
          <w:tcPr>
            <w:tcW w:type="dxa" w:w="1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BI-Entwicklung</w:t>
            </w:r>
          </w:p>
        </w:tc>
        <w:tc>
          <w:tcPr>
            <w:tcW w:type="dxa" w:w="42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Bericht, Modell, Testdaten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Workspace Contributor/Member nach IT-Vorgabe</w:t>
            </w:r>
          </w:p>
        </w:tc>
      </w:tr>
      <w:tr>
        <w:tc>
          <w:tcPr>
            <w:tcW w:type="dxa" w:w="19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Fuhrpark &amp; Controlling</w:t>
            </w:r>
          </w:p>
        </w:tc>
        <w:tc>
          <w:tcPr>
            <w:tcW w:type="dxa" w:w="42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alle operativen Seiten und Details</w:t>
            </w:r>
          </w:p>
        </w:tc>
        <w:tc>
          <w:tcPr>
            <w:tcW w:type="dxa" w:w="32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App-Lesen; optional Build nur nach Entscheidung</w:t>
            </w:r>
          </w:p>
        </w:tc>
      </w:tr>
      <w:tr>
        <w:tc>
          <w:tcPr>
            <w:tcW w:type="dxa" w:w="1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Management</w:t>
            </w:r>
          </w:p>
        </w:tc>
        <w:tc>
          <w:tcPr>
            <w:tcW w:type="dxa" w:w="42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Cockpit, TCO, Budget, Einsparpotenziale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App-Lesen; Export nach Datenschutzentscheidung</w:t>
            </w:r>
          </w:p>
        </w:tc>
      </w:tr>
      <w:tr>
        <w:tc>
          <w:tcPr>
            <w:tcW w:type="dxa" w:w="19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Standort/Kostenstelle</w:t>
            </w:r>
          </w:p>
        </w:tc>
        <w:tc>
          <w:tcPr>
            <w:tcW w:type="dxa" w:w="42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nur eigene Fahrzeuge und Vorgänge</w:t>
            </w:r>
          </w:p>
        </w:tc>
        <w:tc>
          <w:tcPr>
            <w:tcW w:type="dxa" w:w="32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App-Lesen + dynamische RLS</w:t>
            </w:r>
          </w:p>
        </w:tc>
      </w:tr>
      <w:tr>
        <w:tc>
          <w:tcPr>
            <w:tcW w:type="dxa" w:w="1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Power-BI-Admin</w:t>
            </w:r>
          </w:p>
        </w:tc>
        <w:tc>
          <w:tcPr>
            <w:tcW w:type="dxa" w:w="42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Kapazität, Tenant, Gateway, Gruppen</w:t>
            </w:r>
          </w:p>
        </w:tc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Administration</w:t>
            </w:r>
          </w:p>
        </w:tc>
      </w:tr>
    </w:tbl>
    <w:p>
      <w:pPr>
        <w:spacing w:after="40"/>
      </w:pP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RLS-Umsetzung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Berechtigungstabelle mit BenutzerUPN und erlaubtem Organisationsschlüssel pflegen.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Rollenfilter mit USERPRINCIPALNAME() auf die angemeldete Firmenidentität anwenden.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Jede Zielgruppe mit einem Konto testen, das keine Workspace-Bearbeitungsrolle besitzt.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RLS filtert Zeilen. Personenbezogene Spalten zusätzlich entfernen oder mit OLS absichern.</w:t>
      </w: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Nicht zulässig für echte Daten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FF4D8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DDA72C"/>
                <w:sz w:val="21"/>
              </w:rPr>
              <w:t xml:space="preserve">Kein Publish to web: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Bericht und Daten wären ohne Anmeldung öffentlich; RLS-geschützte Berichte werden nicht unterstützt. Nur für die Beispieldemo verwenden.</w:t>
            </w:r>
          </w:p>
        </w:tc>
      </w:tr>
    </w:tbl>
    <w:p>
      <w:pPr>
        <w:spacing w:after="20"/>
      </w:pP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App veröffentlichen</w:t>
      </w:r>
    </w:p>
    <w:p>
      <w:pPr>
        <w:numPr>
          <w:ilvl w:val="0"/>
          <w:numId w:val="11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Workspace und Inhalte </w:t>
      </w:r>
      <w:r>
        <w:rPr>
          <w:rFonts w:ascii="Calibri" w:hAnsi="Calibri"/>
          <w:b w:val="0"/>
          <w:i w:val="0"/>
          <w:color w:val="14252E"/>
          <w:sz w:val="22"/>
        </w:rPr>
        <w:t>Entwicklung und Produktion trennen; Bericht und semantisches Modell in die App aufnehmen.</w:t>
      </w:r>
    </w:p>
    <w:p>
      <w:pPr>
        <w:numPr>
          <w:ilvl w:val="0"/>
          <w:numId w:val="11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Zielgruppen </w:t>
      </w:r>
      <w:r>
        <w:rPr>
          <w:rFonts w:ascii="Calibri" w:hAnsi="Calibri"/>
          <w:b w:val="0"/>
          <w:i w:val="0"/>
          <w:color w:val="14252E"/>
          <w:sz w:val="22"/>
        </w:rPr>
        <w:t>Microsoft-Entra-Sicherheitsgruppen statt Einzelpersonen verwenden.</w:t>
      </w:r>
    </w:p>
    <w:p>
      <w:pPr>
        <w:numPr>
          <w:ilvl w:val="0"/>
          <w:numId w:val="11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Einstellungen und Freigabe </w:t>
      </w:r>
      <w:r>
        <w:rPr>
          <w:rFonts w:ascii="Calibri" w:hAnsi="Calibri"/>
          <w:b w:val="0"/>
          <w:i w:val="0"/>
          <w:color w:val="14252E"/>
          <w:sz w:val="22"/>
        </w:rPr>
        <w:t>Download, Export, Teilen und Build bewusst festlegen; den App-Link erst nach RLS-, Refresh- und Kennzahlenabnahme verteilen.</w:t>
      </w:r>
    </w:p>
    <w:p>
      <w:r>
        <w:br w:type="page"/>
      </w:r>
    </w:p>
    <w:p>
      <w:pPr>
        <w:pStyle w:val="Heading1"/>
      </w:pPr>
      <w:r>
        <w:rPr>
          <w:rFonts w:ascii="Calibri" w:hAnsi="Calibri"/>
          <w:b/>
          <w:i w:val="0"/>
          <w:color w:val="0D887C"/>
          <w:sz w:val="32"/>
        </w:rPr>
        <w:t>7. Pilotplan in vier Phasen</w:t>
      </w:r>
    </w:p>
    <w:p>
      <w:pPr>
        <w:spacing w:after="200"/>
      </w:pPr>
      <w:r>
        <w:t>Mit begrenztem Umfang lässt sich die Lösung in etwa drei bis vier Wochen fachlich belastbar einführen.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500"/>
        <w:gridCol w:w="1600"/>
        <w:gridCol w:w="3960"/>
        <w:gridCol w:w="2300"/>
      </w:tblGrid>
      <w:tr>
        <w:trPr>
          <w:tblHeader w:val="true"/>
        </w:trPr>
        <w:tc>
          <w:tcPr>
            <w:tcW w:type="dxa" w:w="1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Phase</w:t>
            </w:r>
          </w:p>
        </w:tc>
        <w:tc>
          <w:tcPr>
            <w:tcW w:type="dxa" w:w="1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Dauer</w:t>
            </w:r>
          </w:p>
        </w:tc>
        <w:tc>
          <w:tcPr>
            <w:tcW w:type="dxa" w:w="39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Ergebnis</w:t>
            </w:r>
          </w:p>
        </w:tc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Go/No-Go</w:t>
            </w:r>
          </w:p>
        </w:tc>
      </w:tr>
      <w:tr>
        <w:tc>
          <w:tcPr>
            <w:tcW w:type="dxa" w:w="1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1. Discovery</w:t>
            </w:r>
          </w:p>
        </w:tc>
        <w:tc>
          <w:tcPr>
            <w:tcW w:type="dxa" w:w="1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2-3 Arbeitstage</w:t>
            </w:r>
          </w:p>
        </w:tc>
        <w:tc>
          <w:tcPr>
            <w:tcW w:type="dxa" w:w="39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Quellen, Owner, Definitionen, Pilotumfang</w:t>
            </w:r>
          </w:p>
        </w:tc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Datenzugang und Sponsor bestätigt</w:t>
            </w:r>
          </w:p>
        </w:tc>
      </w:tr>
      <w:tr>
        <w:tc>
          <w:tcPr>
            <w:tcW w:type="dxa" w:w="1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2. Aufbau</w:t>
            </w:r>
          </w:p>
        </w:tc>
        <w:tc>
          <w:tcPr>
            <w:tcW w:type="dxa" w:w="16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5-8 Arbeitstage</w:t>
            </w:r>
          </w:p>
        </w:tc>
        <w:tc>
          <w:tcPr>
            <w:tcW w:type="dxa" w:w="39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Modell, Seiten, DAX, RLS, Refresh</w:t>
            </w:r>
          </w:p>
        </w:tc>
        <w:tc>
          <w:tcPr>
            <w:tcW w:type="dxa" w:w="23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Technischer Test ohne kritische Fehler</w:t>
            </w:r>
          </w:p>
        </w:tc>
      </w:tr>
      <w:tr>
        <w:tc>
          <w:tcPr>
            <w:tcW w:type="dxa" w:w="1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3. Pilot</w:t>
            </w:r>
          </w:p>
        </w:tc>
        <w:tc>
          <w:tcPr>
            <w:tcW w:type="dxa" w:w="1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5 Arbeitstage</w:t>
            </w:r>
          </w:p>
        </w:tc>
        <w:tc>
          <w:tcPr>
            <w:tcW w:type="dxa" w:w="39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Key-User-Tests, Abstimmung, Korrekturen</w:t>
            </w:r>
          </w:p>
        </w:tc>
        <w:tc>
          <w:tcPr>
            <w:tcW w:type="dxa" w:w="23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Fachliche Abnahme dokumentiert</w:t>
            </w:r>
          </w:p>
        </w:tc>
      </w:tr>
      <w:tr>
        <w:tc>
          <w:tcPr>
            <w:tcW w:type="dxa" w:w="1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4. Go-live</w:t>
            </w:r>
          </w:p>
        </w:tc>
        <w:tc>
          <w:tcPr>
            <w:tcW w:type="dxa" w:w="16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1-2 Arbeitstage</w:t>
            </w:r>
          </w:p>
        </w:tc>
        <w:tc>
          <w:tcPr>
            <w:tcW w:type="dxa" w:w="39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Produktionsworkspace, App, Support und Monitoring</w:t>
            </w:r>
          </w:p>
        </w:tc>
        <w:tc>
          <w:tcPr>
            <w:tcW w:type="dxa" w:w="23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Sponsor erteilt Freigabe</w:t>
            </w:r>
          </w:p>
        </w:tc>
      </w:tr>
    </w:tbl>
    <w:p>
      <w:pPr>
        <w:spacing w:after="40"/>
      </w:pP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Abnahmekriterien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Alle zwölf Seiten öffnen ohne Fehler und zeigen die aktive Seite eindeutig.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Globale Filter verändern alle vorgesehenen Visuals; FahrzeugID führt bis zum Einzelvorgang.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Gesamtkosten, Liter, Kilometer und Fahrzeugzahl stimmen mit Kontrollquellen überein.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Tank- und Telematikdubletten werden erkannt; Datenlücken sind sichtbar.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RLS zeigt Positivfälle und sperrt Negativfälle korrekt.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Geplanter Refresh läuft mindestens dreimal hintereinander erfolgreich.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App funktioniert für jede Zielgruppe mit einem echten Testkonto.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Owner, Stellvertretung, Fehlerempfänger und Wiederherstellungsweg sind dokumentiert.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F5F2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0D887C"/>
                <w:sz w:val="21"/>
              </w:rPr>
              <w:t xml:space="preserve">Abnahmeprotokoll: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Die beigefügte CSV Pilot_und_Abnahme_Checkliste.csv kann in Excel geöffnet, Verantwortlichen zugewiesen und während des Piloten geführt werden.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</w:pPr>
      <w:r>
        <w:rPr>
          <w:rFonts w:ascii="Calibri" w:hAnsi="Calibri"/>
          <w:b/>
          <w:i w:val="0"/>
          <w:color w:val="0D887C"/>
          <w:sz w:val="32"/>
        </w:rPr>
        <w:t>8. Betrieb nach dem Go-live</w:t>
      </w:r>
    </w:p>
    <w:p>
      <w:pPr>
        <w:spacing w:after="200"/>
      </w:pPr>
      <w:r>
        <w:t>Eine Power-BI-App ist ein Betriebsprodukt: Daten, Kennzahlen und Berechtigungen brauchen feste Eigentümer.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3180"/>
        <w:gridCol w:w="2100"/>
        <w:gridCol w:w="1500"/>
        <w:gridCol w:w="2580"/>
      </w:tblGrid>
      <w:tr>
        <w:trPr>
          <w:tblHeader w:val="true"/>
        </w:trPr>
        <w:tc>
          <w:tcPr>
            <w:tcW w:type="dxa" w:w="31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Aufgabe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Owner</w:t>
            </w:r>
          </w:p>
        </w:tc>
        <w:tc>
          <w:tcPr>
            <w:tcW w:type="dxa" w:w="1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Frequenz</w:t>
            </w:r>
          </w:p>
        </w:tc>
        <w:tc>
          <w:tcPr>
            <w:tcW w:type="dxa" w:w="25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Nachweis</w:t>
            </w:r>
          </w:p>
        </w:tc>
      </w:tr>
      <w:tr>
        <w:tc>
          <w:tcPr>
            <w:tcW w:type="dxa" w:w="31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Refresh und Fehlerhistorie prüfen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BI/App Owner</w:t>
            </w:r>
          </w:p>
        </w:tc>
        <w:tc>
          <w:tcPr>
            <w:tcW w:type="dxa" w:w="1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täglich</w:t>
            </w:r>
          </w:p>
        </w:tc>
        <w:tc>
          <w:tcPr>
            <w:tcW w:type="dxa" w:w="25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Refreshhistorie</w:t>
            </w:r>
          </w:p>
        </w:tc>
      </w:tr>
      <w:tr>
        <w:tc>
          <w:tcPr>
            <w:tcW w:type="dxa" w:w="318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Nicht zugeordnete FahrzeugIDs korrigieren</w:t>
            </w:r>
          </w:p>
        </w:tc>
        <w:tc>
          <w:tcPr>
            <w:tcW w:type="dxa" w:w="21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Data Owner</w:t>
            </w:r>
          </w:p>
        </w:tc>
        <w:tc>
          <w:tcPr>
            <w:tcW w:type="dxa" w:w="1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wöchentlich</w:t>
            </w:r>
          </w:p>
        </w:tc>
        <w:tc>
          <w:tcPr>
            <w:tcW w:type="dxa" w:w="258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Prüfliste</w:t>
            </w:r>
          </w:p>
        </w:tc>
      </w:tr>
      <w:tr>
        <w:tc>
          <w:tcPr>
            <w:tcW w:type="dxa" w:w="31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Ausreißer und Einsparmaßnahmen bewerten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Fuhrpark</w:t>
            </w:r>
          </w:p>
        </w:tc>
        <w:tc>
          <w:tcPr>
            <w:tcW w:type="dxa" w:w="1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monatlich</w:t>
            </w:r>
          </w:p>
        </w:tc>
        <w:tc>
          <w:tcPr>
            <w:tcW w:type="dxa" w:w="25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Maßnahmenliste</w:t>
            </w:r>
          </w:p>
        </w:tc>
      </w:tr>
      <w:tr>
        <w:tc>
          <w:tcPr>
            <w:tcW w:type="dxa" w:w="318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Budget/Forecast aktualisieren</w:t>
            </w:r>
          </w:p>
        </w:tc>
        <w:tc>
          <w:tcPr>
            <w:tcW w:type="dxa" w:w="21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Controlling</w:t>
            </w:r>
          </w:p>
        </w:tc>
        <w:tc>
          <w:tcPr>
            <w:tcW w:type="dxa" w:w="1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monatlich</w:t>
            </w:r>
          </w:p>
        </w:tc>
        <w:tc>
          <w:tcPr>
            <w:tcW w:type="dxa" w:w="258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Budgetfreigabe</w:t>
            </w:r>
          </w:p>
        </w:tc>
      </w:tr>
      <w:tr>
        <w:tc>
          <w:tcPr>
            <w:tcW w:type="dxa" w:w="31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Berechtigungen rezertifizieren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App Owner + IT</w:t>
            </w:r>
          </w:p>
        </w:tc>
        <w:tc>
          <w:tcPr>
            <w:tcW w:type="dxa" w:w="1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quartalsweise</w:t>
            </w:r>
          </w:p>
        </w:tc>
        <w:tc>
          <w:tcPr>
            <w:tcW w:type="dxa" w:w="25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Gruppenreview</w:t>
            </w:r>
          </w:p>
        </w:tc>
      </w:tr>
      <w:tr>
        <w:tc>
          <w:tcPr>
            <w:tcW w:type="dxa" w:w="318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DAX/KPI-Definitionen prüfen</w:t>
            </w:r>
          </w:p>
        </w:tc>
        <w:tc>
          <w:tcPr>
            <w:tcW w:type="dxa" w:w="21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Fuhrpark + Controlling</w:t>
            </w:r>
          </w:p>
        </w:tc>
        <w:tc>
          <w:tcPr>
            <w:tcW w:type="dxa" w:w="15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halbjährlich</w:t>
            </w:r>
          </w:p>
        </w:tc>
        <w:tc>
          <w:tcPr>
            <w:tcW w:type="dxa" w:w="258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KPI-Katalog</w:t>
            </w:r>
          </w:p>
        </w:tc>
      </w:tr>
      <w:tr>
        <w:tc>
          <w:tcPr>
            <w:tcW w:type="dxa" w:w="31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Gateway und Credentials warten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Gateway Admin</w:t>
            </w:r>
          </w:p>
        </w:tc>
        <w:tc>
          <w:tcPr>
            <w:tcW w:type="dxa" w:w="15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nach IT-Standard</w:t>
            </w:r>
          </w:p>
        </w:tc>
        <w:tc>
          <w:tcPr>
            <w:tcW w:type="dxa" w:w="258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Betriebsprotokoll</w:t>
            </w:r>
          </w:p>
        </w:tc>
      </w:tr>
    </w:tbl>
    <w:p>
      <w:pPr>
        <w:spacing w:after="40"/>
      </w:pP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Änderungsprozess</w:t>
      </w:r>
    </w:p>
    <w:p>
      <w:pPr>
        <w:numPr>
          <w:ilvl w:val="0"/>
          <w:numId w:val="12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Anforderung erfassen. </w:t>
      </w:r>
      <w:r>
        <w:rPr>
          <w:rFonts w:ascii="Calibri" w:hAnsi="Calibri"/>
          <w:b w:val="0"/>
          <w:i w:val="0"/>
          <w:color w:val="14252E"/>
          <w:sz w:val="22"/>
        </w:rPr>
        <w:t>Zweck, Nutzergruppe, Definition und Kontrollquelle dokumentieren.</w:t>
      </w:r>
    </w:p>
    <w:p>
      <w:pPr>
        <w:numPr>
          <w:ilvl w:val="0"/>
          <w:numId w:val="12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In Entwicklung umsetzen. </w:t>
      </w:r>
      <w:r>
        <w:rPr>
          <w:rFonts w:ascii="Calibri" w:hAnsi="Calibri"/>
          <w:b w:val="0"/>
          <w:i w:val="0"/>
          <w:color w:val="14252E"/>
          <w:sz w:val="22"/>
        </w:rPr>
        <w:t>Keine Direktänderung am freigegebenen Produktionsbericht.</w:t>
      </w:r>
    </w:p>
    <w:p>
      <w:pPr>
        <w:numPr>
          <w:ilvl w:val="0"/>
          <w:numId w:val="12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Testen. </w:t>
      </w:r>
      <w:r>
        <w:rPr>
          <w:rFonts w:ascii="Calibri" w:hAnsi="Calibri"/>
          <w:b w:val="0"/>
          <w:i w:val="0"/>
          <w:color w:val="14252E"/>
          <w:sz w:val="22"/>
        </w:rPr>
        <w:t>Kennzahlenabgleich, Filter, RLS, Performance und mobile Darstellung prüfen.</w:t>
      </w:r>
    </w:p>
    <w:p>
      <w:pPr>
        <w:numPr>
          <w:ilvl w:val="0"/>
          <w:numId w:val="12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Freigeben. </w:t>
      </w:r>
      <w:r>
        <w:rPr>
          <w:rFonts w:ascii="Calibri" w:hAnsi="Calibri"/>
          <w:b w:val="0"/>
          <w:i w:val="0"/>
          <w:color w:val="14252E"/>
          <w:sz w:val="22"/>
        </w:rPr>
        <w:t>Product Owner und bei Sicherheitsänderungen IT/Datenschutz zeichnen ab.</w:t>
      </w:r>
    </w:p>
    <w:p>
      <w:pPr>
        <w:numPr>
          <w:ilvl w:val="0"/>
          <w:numId w:val="12"/>
        </w:numPr>
        <w:spacing w:after="120" w:line="300" w:lineRule="auto"/>
        <w:ind w:left="540" w:hanging="271"/>
      </w:pPr>
      <w:r>
        <w:rPr>
          <w:rFonts w:ascii="Calibri" w:hAnsi="Calibri"/>
          <w:b/>
          <w:i w:val="0"/>
          <w:color w:val="0B1F2D"/>
          <w:sz w:val="22"/>
        </w:rPr>
        <w:t xml:space="preserve">App aktualisieren. </w:t>
      </w:r>
      <w:r>
        <w:rPr>
          <w:rFonts w:ascii="Calibri" w:hAnsi="Calibri"/>
          <w:b w:val="0"/>
          <w:i w:val="0"/>
          <w:color w:val="14252E"/>
          <w:sz w:val="22"/>
        </w:rPr>
        <w:t>Versionshinweis und betroffene Kennzahlen kommunizieren.</w:t>
      </w: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Empfohlene Warnungen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Refresh fehlgeschlagen oder Daten älter als vereinbarte SLA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FahrzeugID fehlt oder ist im Fahrzeugstamm doppelt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Kostenabweichung zur Kontrollquelle über definierter Toleranz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Telematikquote fällt unter den vereinbarten Mindestwert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Vertrag endet innerhalb von 90 Tagen oder Kilometerprognose überschreitet Plan</w:t>
      </w:r>
    </w:p>
    <w:p>
      <w:r>
        <w:br w:type="page"/>
      </w:r>
    </w:p>
    <w:p>
      <w:pPr>
        <w:pStyle w:val="Heading1"/>
      </w:pPr>
      <w:r>
        <w:rPr>
          <w:rFonts w:ascii="Calibri" w:hAnsi="Calibri"/>
          <w:b/>
          <w:i w:val="0"/>
          <w:color w:val="0D887C"/>
          <w:sz w:val="32"/>
        </w:rPr>
        <w:t>9. So wird das Projekt in einer Firma eingebracht</w:t>
      </w:r>
    </w:p>
    <w:p>
      <w:pPr>
        <w:spacing w:after="200"/>
      </w:pPr>
      <w:r>
        <w:t>Nicht mit dem Dashboard beginnen, sondern mit Problem, Nutzen, Pilot und Verantwortung.</w:t>
      </w: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Empfohlener 30-Minuten-Termin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100"/>
        <w:gridCol w:w="4740"/>
        <w:gridCol w:w="3520"/>
      </w:tblGrid>
      <w:tr>
        <w:trPr>
          <w:tblHeader w:val="true"/>
        </w:trPr>
        <w:tc>
          <w:tcPr>
            <w:tcW w:type="dxa" w:w="1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Minuten</w:t>
            </w:r>
          </w:p>
        </w:tc>
        <w:tc>
          <w:tcPr>
            <w:tcW w:type="dxa" w:w="474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Inhalt</w:t>
            </w:r>
          </w:p>
        </w:tc>
        <w:tc>
          <w:tcPr>
            <w:tcW w:type="dxa" w:w="35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Ziel</w:t>
            </w:r>
          </w:p>
        </w:tc>
      </w:tr>
      <w:tr>
        <w:tc>
          <w:tcPr>
            <w:tcW w:type="dxa" w:w="1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0-5</w:t>
            </w:r>
          </w:p>
        </w:tc>
        <w:tc>
          <w:tcPr>
            <w:tcW w:type="dxa" w:w="474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Ausgangslage: verteilte Excel-/CSV-Dateien, fehlender Gesamtblick</w:t>
            </w:r>
          </w:p>
        </w:tc>
        <w:tc>
          <w:tcPr>
            <w:tcW w:type="dxa" w:w="35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Problem bestätigen</w:t>
            </w:r>
          </w:p>
        </w:tc>
      </w:tr>
      <w:tr>
        <w:tc>
          <w:tcPr>
            <w:tcW w:type="dxa" w:w="11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5-10</w:t>
            </w:r>
          </w:p>
        </w:tc>
        <w:tc>
          <w:tcPr>
            <w:tcW w:type="dxa" w:w="474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Öffentliche Beispieldemo zeigen</w:t>
            </w:r>
          </w:p>
        </w:tc>
        <w:tc>
          <w:tcPr>
            <w:tcW w:type="dxa" w:w="352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Zielbild verständlich machen</w:t>
            </w:r>
          </w:p>
        </w:tc>
      </w:tr>
      <w:tr>
        <w:tc>
          <w:tcPr>
            <w:tcW w:type="dxa" w:w="1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10-15</w:t>
            </w:r>
          </w:p>
        </w:tc>
        <w:tc>
          <w:tcPr>
            <w:tcW w:type="dxa" w:w="474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Drei konkrete Entscheidungen zeigen: Autobahntanken, Ausreißer, Verträge/Budget</w:t>
            </w:r>
          </w:p>
        </w:tc>
        <w:tc>
          <w:tcPr>
            <w:tcW w:type="dxa" w:w="35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Business-Nutzen belegen</w:t>
            </w:r>
          </w:p>
        </w:tc>
      </w:tr>
      <w:tr>
        <w:tc>
          <w:tcPr>
            <w:tcW w:type="dxa" w:w="11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15-20</w:t>
            </w:r>
          </w:p>
        </w:tc>
        <w:tc>
          <w:tcPr>
            <w:tcW w:type="dxa" w:w="474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Daten- und Sicherheitsarchitektur erklären</w:t>
            </w:r>
          </w:p>
        </w:tc>
        <w:tc>
          <w:tcPr>
            <w:tcW w:type="dxa" w:w="352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IT- und Datenschutzfragen vorwegnehmen</w:t>
            </w:r>
          </w:p>
        </w:tc>
      </w:tr>
      <w:tr>
        <w:tc>
          <w:tcPr>
            <w:tcW w:type="dxa" w:w="1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20-25</w:t>
            </w:r>
          </w:p>
        </w:tc>
        <w:tc>
          <w:tcPr>
            <w:tcW w:type="dxa" w:w="474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Pilot mit 20-40 Fahrzeugen und drei Monaten vorschlagen</w:t>
            </w:r>
          </w:p>
        </w:tc>
        <w:tc>
          <w:tcPr>
            <w:tcW w:type="dxa" w:w="352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Risiko begrenzen</w:t>
            </w:r>
          </w:p>
        </w:tc>
      </w:tr>
      <w:tr>
        <w:tc>
          <w:tcPr>
            <w:tcW w:type="dxa" w:w="11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25-30</w:t>
            </w:r>
          </w:p>
        </w:tc>
        <w:tc>
          <w:tcPr>
            <w:tcW w:type="dxa" w:w="474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Owner, Datenzugang und Starttermin entscheiden</w:t>
            </w:r>
          </w:p>
        </w:tc>
        <w:tc>
          <w:tcPr>
            <w:tcW w:type="dxa" w:w="352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Verbindlichen nächsten Schritt sichern</w:t>
            </w:r>
          </w:p>
        </w:tc>
      </w:tr>
    </w:tbl>
    <w:p>
      <w:pPr>
        <w:spacing w:after="40"/>
      </w:pP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Kurzvorstellung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E8F5F2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0D887C"/>
                <w:sz w:val="21"/>
              </w:rPr>
              <w:t xml:space="preserve">Pitch: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Wir führen keine weitere isolierte Excel-Auswertung ein. Wir bündeln vorhandene Fuhrparkdateien in einem kontrollierten Power-BI-Modell, das Kosten, Verbrauch, Verträge und Einsparpotenziale bis zur FahrzeugID nachvollziehbar macht. Wir starten klein, gleichen jede Kernkennzahl gegen die Quelle ab und geben die App erst nach Sicherheits- und Fachabnahme frei.</w:t>
            </w:r>
          </w:p>
        </w:tc>
      </w:tr>
    </w:tbl>
    <w:p>
      <w:pPr>
        <w:spacing w:after="20"/>
      </w:pP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Konkrete Entscheidungsbitte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Sponsor und Product Owner benennen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Pilotgesellschaft, Standort und 20-40 Fahrzeuge auswählen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je Datenquelle einen Data Owner festlegen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SharePoint oder Netzwerk/Gateway als Ablage entscheiden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BI-Entwickler und Power-BI-Admin für den Pilot reservieren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Starttermin und Abnahmetermin vereinbaren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FFF4D8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DDA72C"/>
                <w:sz w:val="21"/>
              </w:rPr>
              <w:t xml:space="preserve">Nicht versprechen: </w:t>
            </w:r>
            <w:r>
              <w:rPr>
                <w:rFonts w:ascii="Calibri" w:hAnsi="Calibri"/>
                <w:b w:val="0"/>
                <w:i w:val="0"/>
                <w:color w:val="14252E"/>
                <w:sz w:val="21"/>
              </w:rPr>
              <w:t>Vor dem Datenabgleich keine garantierte Einsparsumme nennen. Die Demo zeigt Möglichkeiten; belastbare Werte entstehen erst aus den freigegebenen Firmendaten.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</w:pPr>
      <w:r>
        <w:rPr>
          <w:rFonts w:ascii="Calibri" w:hAnsi="Calibri"/>
          <w:b/>
          <w:i w:val="0"/>
          <w:color w:val="0D887C"/>
          <w:sz w:val="32"/>
        </w:rPr>
        <w:t>10. Paketinhalt und Quellen</w:t>
      </w:r>
    </w:p>
    <w:p>
      <w:pPr>
        <w:spacing w:after="200"/>
      </w:pPr>
      <w:r>
        <w:t>Alle Dateien sind so benannt, dass ein externer BI-Entwickler sie ohne Kontextverlust zuordnen kann.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3900"/>
        <w:gridCol w:w="5460"/>
      </w:tblGrid>
      <w:tr>
        <w:trPr>
          <w:tblHeader w:val="true"/>
        </w:trP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Pfad</w:t>
            </w:r>
          </w:p>
        </w:tc>
        <w:tc>
          <w:tcPr>
            <w:tcW w:type="dxa" w:w="54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0B1F2D"/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Verwendung</w:t>
            </w:r>
          </w:p>
        </w:tc>
      </w:tr>
      <w:t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Theme/FuhrparkBI_Theme.json</w:t>
            </w:r>
          </w:p>
        </w:tc>
        <w:tc>
          <w:tcPr>
            <w:tcW w:type="dxa" w:w="54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Unternehmensnahes Grunddesign importieren</w:t>
            </w:r>
          </w:p>
        </w:tc>
      </w:tr>
      <w:tr>
        <w:tc>
          <w:tcPr>
            <w:tcW w:type="dxa" w:w="39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PowerQuery/*.m</w:t>
            </w:r>
          </w:p>
        </w:tc>
        <w:tc>
          <w:tcPr>
            <w:tcW w:type="dxa" w:w="54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SharePoint-/Netzwerkimport, Fahrzeugstamm, Tank, Telematik, Kalender</w:t>
            </w:r>
          </w:p>
        </w:tc>
      </w:tr>
      <w:t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DAX/Fuhrpark_Measures.dax</w:t>
            </w:r>
          </w:p>
        </w:tc>
        <w:tc>
          <w:tcPr>
            <w:tcW w:type="dxa" w:w="54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Kernkennzahlen und Zeitintelligenz</w:t>
            </w:r>
          </w:p>
        </w:tc>
      </w:tr>
      <w:tr>
        <w:tc>
          <w:tcPr>
            <w:tcW w:type="dxa" w:w="39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DAX/Beziehungen_und_Sortierung.txt</w:t>
            </w:r>
          </w:p>
        </w:tc>
        <w:tc>
          <w:tcPr>
            <w:tcW w:type="dxa" w:w="54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Sternmodell, Sortierung und globale Filter</w:t>
            </w:r>
          </w:p>
        </w:tc>
      </w:tr>
      <w:t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Sicherheit/Sicherheit_Zugriff_Beispiel.csv</w:t>
            </w:r>
          </w:p>
        </w:tc>
        <w:tc>
          <w:tcPr>
            <w:tcW w:type="dxa" w:w="54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Vorlage für dynamische Zugriffszuordnung</w:t>
            </w:r>
          </w:p>
        </w:tc>
      </w:tr>
      <w:tr>
        <w:tc>
          <w:tcPr>
            <w:tcW w:type="dxa" w:w="39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Sicherheit/RLS_Rollenmodell.md</w:t>
            </w:r>
          </w:p>
        </w:tc>
        <w:tc>
          <w:tcPr>
            <w:tcW w:type="dxa" w:w="54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RLS-Implementierung und Testpflicht</w:t>
            </w:r>
          </w:p>
        </w:tc>
      </w:tr>
      <w:tr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Abnahme/Pilot_und_Abnahme_Checkliste.csv</w:t>
            </w:r>
          </w:p>
        </w:tc>
        <w:tc>
          <w:tcPr>
            <w:tcW w:type="dxa" w:w="546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Verantwortliche, Nachweise und Go-live-Prüfung</w:t>
            </w:r>
          </w:p>
        </w:tc>
      </w:tr>
      <w:tr>
        <w:tc>
          <w:tcPr>
            <w:tcW w:type="dxa" w:w="390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PowerBI_Fuhrparkmanagement_Vorlage.xlsx</w:t>
            </w:r>
          </w:p>
        </w:tc>
        <w:tc>
          <w:tcPr>
            <w:tcW w:type="dxa" w:w="5460"/>
            <w:shd w:fill="F2F4F3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0" w:line="252" w:lineRule="auto"/>
            </w:pPr>
            <w:r>
              <w:rPr>
                <w:rFonts w:ascii="Calibri" w:hAnsi="Calibri"/>
                <w:b w:val="0"/>
                <w:i w:val="0"/>
                <w:color w:val="14252E"/>
                <w:sz w:val="17"/>
              </w:rPr>
              <w:t>Datenmodell, Beispieldaten, DAX-Katalog</w:t>
            </w:r>
          </w:p>
        </w:tc>
      </w:tr>
    </w:tbl>
    <w:p>
      <w:pPr>
        <w:spacing w:after="40"/>
      </w:pPr>
    </w:p>
    <w:p>
      <w:pPr>
        <w:pStyle w:val="Heading2"/>
      </w:pPr>
      <w:r>
        <w:rPr>
          <w:rFonts w:ascii="Calibri" w:hAnsi="Calibri"/>
          <w:b/>
          <w:i w:val="0"/>
          <w:color w:val="0B1F2D"/>
          <w:sz w:val="26"/>
        </w:rPr>
        <w:t>Offizielle Microsoft-Quellen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Power-BI-App erstellen und verteilen: https://learn.microsoft.com/en-us/power-bi/collaborate-share/service-create-distribute-apps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Seiten- und Bookmark-Navigatoren: https://learn.microsoft.com/en-gb/power-bi/create-reports/button-navigators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Row-Level Security: https://learn.microsoft.com/en-us/power-bi/guidance/rls-guidance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Datenaktualisierung: https://learn.microsoft.com/en-us/power-bi/connect-data/refresh-data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On-premises Data Gateway: https://learn.microsoft.com/en-us/power-bi/connect-data/service-gateway-onprem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Deployment Pipelines: https://learn.microsoft.com/en-us/fabric/cicd/deployment-pipelines/get-started-with-deployment-pipelines</w:t>
      </w:r>
    </w:p>
    <w:p>
      <w:pPr>
        <w:pStyle w:val="ListBullet"/>
        <w:spacing w:after="80" w:line="300" w:lineRule="auto"/>
        <w:ind w:left="540" w:hanging="271"/>
      </w:pPr>
      <w:r>
        <w:rPr>
          <w:rFonts w:ascii="Calibri" w:hAnsi="Calibri"/>
          <w:b w:val="0"/>
          <w:i w:val="0"/>
          <w:color w:val="14252E"/>
          <w:sz w:val="22"/>
        </w:rPr>
        <w:t>Publish to web - Sicherheitswarnung: https://learn.microsoft.com/en-us/power-bi/collaborate-share/service-publish-to-web</w:t>
      </w:r>
    </w:p>
    <w:p>
      <w:pPr>
        <w:spacing w:before="240"/>
      </w:pPr>
      <w:r>
        <w:rPr>
          <w:rFonts w:ascii="Calibri" w:hAnsi="Calibri"/>
          <w:b w:val="0"/>
          <w:i/>
          <w:color w:val="64747C"/>
          <w:sz w:val="18"/>
        </w:rPr>
        <w:t>Quellenstand: 12. August 2026. Microsoft-Dokumentation vor produktivem Rollout auf Änderungen prüfen.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4747C"/>
        <w:sz w:val="17"/>
      </w:rPr>
      <w:t xml:space="preserve">Seite </w:t>
    </w:r>
    <w:r>
      <w:rPr>
        <w:rFonts w:ascii="Calibri" w:hAnsi="Calibri"/>
        <w:b w:val="0"/>
        <w:i w:val="0"/>
        <w:color w:val="64747C"/>
        <w:sz w:val="17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Calibri" w:hAnsi="Calibri"/>
        <w:b/>
        <w:i w:val="0"/>
        <w:color w:val="64747C"/>
        <w:sz w:val="17"/>
      </w:rPr>
      <w:t>FUHRPARK BI  |  EINFÜHRUNGSPAKET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abstractNum w:abstractNumId="11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300" w:lineRule="auto"/>
    </w:pPr>
    <w:rPr>
      <w:rFonts w:ascii="Calibri" w:hAnsi="Calibri"/>
      <w:color w:val="14252E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/>
      <w:b/>
      <w:bCs/>
      <w:color w:val="0D887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/>
      <w:b/>
      <w:bCs/>
      <w:color w:val="0B1F2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14252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Fuhrpark BI - Einführungsleitfaden</dc:title>
  <dc:subject>Einführung des Fuhrpark-Cockpits als sichere Power-BI-App</dc:subject>
  <dc:creator>Fuhrpark BI Projektteam</dc:creator>
  <cp:keywords>Power BI, Fuhrpark, Einführung, RLS, Gateway, App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