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900"/>
      </w:pPr>
      <w:r>
        <w:rPr>
          <w:b/>
          <w:color w:val="1D8A83"/>
          <w:sz w:val="24"/>
        </w:rPr>
        <w:t>FUHRPARK COCKPIT</w:t>
      </w:r>
    </w:p>
    <w:p>
      <w:pPr>
        <w:spacing w:before="160" w:after="200"/>
      </w:pPr>
      <w:r>
        <w:rPr>
          <w:b/>
          <w:color w:val="17324D"/>
          <w:sz w:val="56"/>
        </w:rPr>
        <w:t>Ordner und Berechtigungen</w:t>
        <w:br/>
        <w:t>einrichten</w:t>
      </w:r>
    </w:p>
    <w:p>
      <w:pPr>
        <w:spacing w:after="440"/>
      </w:pPr>
      <w:r>
        <w:rPr>
          <w:color w:val="236B8E"/>
          <w:sz w:val="28"/>
        </w:rPr>
        <w:t>Schritt-für-Schritt-Anleitung für Windows-Netzlaufwerke und SharePoint/Teams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Zielgruppe</w:t>
            </w:r>
          </w:p>
        </w:tc>
        <w:tc>
          <w:tcPr>
            <w:tcW w:type="dxa" w:w="7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Fuhrparkverantwortliche, IT-Administration und Power-BI-Verantwortliche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Datenquellen</w:t>
            </w:r>
          </w:p>
        </w:tc>
        <w:tc>
          <w:tcPr>
            <w:tcW w:type="dxa" w:w="7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Excel- und CSV-Dateien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Version</w:t>
            </w:r>
          </w:p>
        </w:tc>
        <w:tc>
          <w:tcPr>
            <w:tcW w:type="dxa" w:w="7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1.0 · Stand 26.07.2026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Ergebnis</w:t>
            </w:r>
          </w:p>
        </w:tc>
        <w:tc>
          <w:tcPr>
            <w:tcW w:type="dxa" w:w="7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Ein zentraler, sicherer Datenordner mit klar geregeltem Zugriff</w:t>
            </w:r>
          </w:p>
        </w:tc>
      </w:tr>
    </w:tbl>
    <w:p/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"/>
        <w:gridCol w:w="9180"/>
      </w:tblGrid>
      <w:tr>
        <w:tc>
          <w:tcPr>
            <w:tcW w:type="dxa" w:w="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D8A83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FFFFFF"/>
                <w:sz w:val="19"/>
              </w:rPr>
            </w:r>
          </w:p>
        </w:tc>
        <w:tc>
          <w:tcPr>
            <w:tcW w:type="dxa" w:w="9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7FA"/>
          </w:tcPr>
          <w:p>
            <w:pPr>
              <w:spacing w:after="40"/>
            </w:pPr>
            <w:r/>
            <w:r>
              <w:rPr>
                <w:b/>
                <w:color w:val="17324D"/>
                <w:sz w:val="20"/>
              </w:rPr>
              <w:t>Empfohlener Standard</w:t>
            </w:r>
          </w:p>
          <w:p>
            <w:pPr>
              <w:spacing w:after="0"/>
            </w:pPr>
            <w:r>
              <w:rPr>
                <w:color w:val="263442"/>
                <w:sz w:val="19"/>
              </w:rPr>
              <w:t>Für ein Firmennetz: zentraler Netzwerkordner mit einem festen UNC-Pfad. Für Microsoft 365: SharePoint-Dokumentbibliothek und in Power BI der Connector „SharePoint-Ordner“. Keine persönlichen Pfade wie C:\Benutzer\Name\… verwenden.</w:t>
            </w:r>
          </w:p>
        </w:tc>
      </w:tr>
    </w:tbl>
    <w:p>
      <w:pPr>
        <w:spacing w:after="0"/>
      </w:pPr>
    </w:p>
    <w:p>
      <w:pPr>
        <w:pStyle w:val="Heading2"/>
      </w:pPr>
      <w:r>
        <w:t>Das wird am Ende vorhanden sein</w:t>
      </w:r>
    </w:p>
    <w:p>
      <w:pPr>
        <w:pStyle w:val="ListBullet"/>
      </w:pPr>
      <w:r>
        <w:t>Einheitliche Ordner für Tankvorgänge, Stammdaten, BI-Dateien, Exporte, Archiv und Dokumentation.</w:t>
      </w:r>
    </w:p>
    <w:p>
      <w:pPr>
        <w:pStyle w:val="ListBullet"/>
      </w:pPr>
      <w:r>
        <w:t>Vier leicht verständliche Zugriffsrollen statt einzelner, unübersichtlicher Freigaben.</w:t>
      </w:r>
    </w:p>
    <w:p>
      <w:pPr>
        <w:pStyle w:val="ListBullet"/>
      </w:pPr>
      <w:r>
        <w:t>Ein stabiler Datenpfad, der auch auf einem anderen Computer und bei automatischer Aktualisierung funktioniert.</w:t>
      </w:r>
    </w:p>
    <w:p>
      <w:pPr>
        <w:pStyle w:val="ListBullet"/>
      </w:pPr>
      <w:r>
        <w:t>Eine Prüfliste, mit der die Einrichtung vor der Übergabe getestet wird.</w:t>
      </w:r>
    </w:p>
    <w:p>
      <w:r>
        <w:br w:type="page"/>
      </w:r>
    </w:p>
    <w:p>
      <w:pPr>
        <w:pStyle w:val="Heading1"/>
      </w:pPr>
      <w:r>
        <w:t>1. Ordnerstruktur anlegen</w:t>
      </w:r>
    </w:p>
    <w:p>
      <w:r>
        <w:t>Legen Sie genau einen Hauptordner mit dem Namen Fuhrpark-Daten an. Darunter werden folgende Unterordner erstellt: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500"/>
        <w:gridCol w:w="5860"/>
      </w:tblGrid>
      <w:tr>
        <w:tc>
          <w:tcPr>
            <w:tcW w:type="dxa" w:w="3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Ordner</w:t>
            </w:r>
          </w:p>
        </w:tc>
        <w:tc>
          <w:tcPr>
            <w:tcW w:type="dxa" w:w="5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Zweck</w:t>
            </w:r>
          </w:p>
        </w:tc>
      </w:tr>
      <w:tr>
        <w:tc>
          <w:tcPr>
            <w:tcW w:type="dxa" w:w="35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01_Tankvorgaenge\Eingang</w:t>
            </w:r>
          </w:p>
        </w:tc>
        <w:tc>
          <w:tcPr>
            <w:tcW w:type="dxa" w:w="5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Neue CSV-/Excel-Dateien, die Power BI einlesen soll</w:t>
            </w:r>
          </w:p>
        </w:tc>
      </w:tr>
      <w:tr>
        <w:tc>
          <w:tcPr>
            <w:tcW w:type="dxa" w:w="35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01_Tankvorgaenge\Verarbeitet</w:t>
            </w:r>
          </w:p>
        </w:tc>
        <w:tc>
          <w:tcPr>
            <w:tcW w:type="dxa" w:w="58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Bereits geprüfte und verarbeitete Dateien</w:t>
            </w:r>
          </w:p>
        </w:tc>
      </w:tr>
      <w:tr>
        <w:tc>
          <w:tcPr>
            <w:tcW w:type="dxa" w:w="35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01_Tankvorgaenge\Fehler</w:t>
            </w:r>
          </w:p>
        </w:tc>
        <w:tc>
          <w:tcPr>
            <w:tcW w:type="dxa" w:w="5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Dateien mit fehlenden oder falschen Angaben</w:t>
            </w:r>
          </w:p>
        </w:tc>
      </w:tr>
      <w:tr>
        <w:tc>
          <w:tcPr>
            <w:tcW w:type="dxa" w:w="35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02_Stammdaten\Fahrzeuge</w:t>
            </w:r>
          </w:p>
        </w:tc>
        <w:tc>
          <w:tcPr>
            <w:tcW w:type="dxa" w:w="58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Kennzeichen, Fahrzeugtyp, Kostenstelle</w:t>
            </w:r>
          </w:p>
        </w:tc>
      </w:tr>
      <w:tr>
        <w:tc>
          <w:tcPr>
            <w:tcW w:type="dxa" w:w="35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02_Stammdaten\Nutzer</w:t>
            </w:r>
          </w:p>
        </w:tc>
        <w:tc>
          <w:tcPr>
            <w:tcW w:type="dxa" w:w="5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Nutzer- oder Karten-Zuordnung; besonders schützen</w:t>
            </w:r>
          </w:p>
        </w:tc>
      </w:tr>
      <w:tr>
        <w:tc>
          <w:tcPr>
            <w:tcW w:type="dxa" w:w="35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02_Stammdaten\Tankstellen</w:t>
            </w:r>
          </w:p>
        </w:tc>
        <w:tc>
          <w:tcPr>
            <w:tcW w:type="dxa" w:w="58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Tankstelle, Ort und Raststätte Ja/Nein</w:t>
            </w:r>
          </w:p>
        </w:tc>
      </w:tr>
      <w:tr>
        <w:tc>
          <w:tcPr>
            <w:tcW w:type="dxa" w:w="35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02_Stammdaten\Produkte</w:t>
            </w:r>
          </w:p>
        </w:tc>
        <w:tc>
          <w:tcPr>
            <w:tcW w:type="dxa" w:w="5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Diesel, Benzin, AdBlue, Öl und weitere Produkte</w:t>
            </w:r>
          </w:p>
        </w:tc>
      </w:tr>
      <w:tr>
        <w:tc>
          <w:tcPr>
            <w:tcW w:type="dxa" w:w="35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03_BI\PowerBI</w:t>
            </w:r>
          </w:p>
        </w:tc>
        <w:tc>
          <w:tcPr>
            <w:tcW w:type="dxa" w:w="58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Power-BI-Datei und zugehörige Einstellungen</w:t>
            </w:r>
          </w:p>
        </w:tc>
      </w:tr>
      <w:tr>
        <w:tc>
          <w:tcPr>
            <w:tcW w:type="dxa" w:w="35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03_BI\Exporte</w:t>
            </w:r>
          </w:p>
        </w:tc>
        <w:tc>
          <w:tcPr>
            <w:tcW w:type="dxa" w:w="5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Freigegebene PDF-/Excel-Auswertungen</w:t>
            </w:r>
          </w:p>
        </w:tc>
      </w:tr>
      <w:tr>
        <w:tc>
          <w:tcPr>
            <w:tcW w:type="dxa" w:w="35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04_Archiv</w:t>
            </w:r>
          </w:p>
        </w:tc>
        <w:tc>
          <w:tcPr>
            <w:tcW w:type="dxa" w:w="58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Abgeschlossene Zeiträume und Sicherungskopien</w:t>
            </w:r>
          </w:p>
        </w:tc>
      </w:tr>
      <w:tr>
        <w:tc>
          <w:tcPr>
            <w:tcW w:type="dxa" w:w="35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05_Dokumentation</w:t>
            </w:r>
          </w:p>
        </w:tc>
        <w:tc>
          <w:tcPr>
            <w:tcW w:type="dxa" w:w="5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Diese Anleitung, Datenbeschreibung und Änderungsprotokoll</w:t>
            </w:r>
          </w:p>
        </w:tc>
      </w:tr>
    </w:tbl>
    <w:p>
      <w:pPr>
        <w:pStyle w:val="Heading2"/>
      </w:pPr>
      <w:r>
        <w:t>Dateinamen</w:t>
      </w:r>
    </w:p>
    <w:p>
      <w:pPr>
        <w:pStyle w:val="ListBullet"/>
      </w:pPr>
      <w:r>
        <w:t>Tankdateien: Tankdaten_JJJJ_MM_Anbieter.csv, zum Beispiel Tankdaten_2026_07_Shell.csv.</w:t>
      </w:r>
    </w:p>
    <w:p>
      <w:pPr>
        <w:pStyle w:val="ListBullet"/>
      </w:pPr>
      <w:r>
        <w:t>Stammdaten: Fahrzeuge.xlsx, Nutzer.xlsx, Tankstellen.xlsx und Produkte.xlsx.</w:t>
      </w:r>
    </w:p>
    <w:p>
      <w:pPr>
        <w:pStyle w:val="ListBullet"/>
      </w:pPr>
      <w:r>
        <w:t>Keine Sonderzeichen, Umlaute oder wechselnden Spaltennamen verwenden.</w:t>
      </w:r>
    </w:p>
    <w:p>
      <w:pPr>
        <w:pStyle w:val="ListBullet"/>
      </w:pPr>
      <w:r>
        <w:t>Eine bereits eingelesene Datei nicht noch einmal unter einem zweiten Namen in den Eingangsordner kopieren.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"/>
        <w:gridCol w:w="9180"/>
      </w:tblGrid>
      <w:tr>
        <w:tc>
          <w:tcPr>
            <w:tcW w:type="dxa" w:w="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D9A441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FFFFFF"/>
                <w:sz w:val="19"/>
              </w:rPr>
            </w:r>
          </w:p>
        </w:tc>
        <w:tc>
          <w:tcPr>
            <w:tcW w:type="dxa" w:w="9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7FA"/>
          </w:tcPr>
          <w:p>
            <w:pPr>
              <w:spacing w:after="40"/>
            </w:pPr>
            <w:r/>
            <w:r>
              <w:rPr>
                <w:b/>
                <w:color w:val="17324D"/>
                <w:sz w:val="20"/>
              </w:rPr>
              <w:t>Wichtig gegen doppelte Werte</w:t>
            </w:r>
          </w:p>
          <w:p>
            <w:pPr>
              <w:spacing w:after="0"/>
            </w:pPr>
            <w:r>
              <w:rPr>
                <w:color w:val="263442"/>
                <w:sz w:val="19"/>
              </w:rPr>
              <w:t>Wenn Power BI den gesamten Hauptordner einliest, dürfen Kopien aus „Verarbeitet“ oder „Archiv“ nicht erneut erfasst werden. Die Abfrage muss deshalb gezielt auf „01_Tankvorgaenge\Eingang“ zeigen oder diese Ordner ausschließen.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Heading1"/>
      </w:pPr>
      <w:r>
        <w:t>2. Rollen und Berechtigungen festlegen</w:t>
      </w:r>
    </w:p>
    <w:p>
      <w:r>
        <w:t>Berechtigungen werden am besten über Gruppen vergeben. Personen werden nur der passenden Gruppe hinzugefügt. So bleibt die Übergabe übersichtlich.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2300"/>
        <w:gridCol w:w="4860"/>
      </w:tblGrid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Rolle</w:t>
            </w:r>
          </w:p>
        </w:tc>
        <w:tc>
          <w:tcPr>
            <w:tcW w:type="dxa" w:w="2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Zugriff</w:t>
            </w:r>
          </w:p>
        </w:tc>
        <w:tc>
          <w:tcPr>
            <w:tcW w:type="dxa" w:w="4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Aufgabe</w:t>
            </w:r>
          </w:p>
        </w:tc>
      </w:tr>
      <w:tr>
        <w:tc>
          <w:tcPr>
            <w:tcW w:type="dxa" w:w="22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Fuhrpark-Admin</w:t>
            </w:r>
          </w:p>
        </w:tc>
        <w:tc>
          <w:tcPr>
            <w:tcW w:type="dxa" w:w="23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Vollzugriff</w:t>
            </w:r>
          </w:p>
        </w:tc>
        <w:tc>
          <w:tcPr>
            <w:tcW w:type="dxa" w:w="4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Struktur, Berechtigungen und Stammdaten verwalten</w:t>
            </w:r>
          </w:p>
        </w:tc>
      </w:tr>
      <w:tr>
        <w:tc>
          <w:tcPr>
            <w:tcW w:type="dxa" w:w="22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Datenpflege</w:t>
            </w:r>
          </w:p>
        </w:tc>
        <w:tc>
          <w:tcPr>
            <w:tcW w:type="dxa" w:w="23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Ändern</w:t>
            </w:r>
          </w:p>
        </w:tc>
        <w:tc>
          <w:tcPr>
            <w:tcW w:type="dxa" w:w="48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Tankdateien hochladen und Stammdaten pflegen</w:t>
            </w:r>
          </w:p>
        </w:tc>
      </w:tr>
      <w:tr>
        <w:tc>
          <w:tcPr>
            <w:tcW w:type="dxa" w:w="22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BI-Bearbeitung</w:t>
            </w:r>
          </w:p>
        </w:tc>
        <w:tc>
          <w:tcPr>
            <w:tcW w:type="dxa" w:w="23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Lesen der Quellen; Ändern in 03_BI</w:t>
            </w:r>
          </w:p>
        </w:tc>
        <w:tc>
          <w:tcPr>
            <w:tcW w:type="dxa" w:w="4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Power BI pflegen und veröffentlichen</w:t>
            </w:r>
          </w:p>
        </w:tc>
      </w:tr>
      <w:tr>
        <w:tc>
          <w:tcPr>
            <w:tcW w:type="dxa" w:w="22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Leser / Management</w:t>
            </w:r>
          </w:p>
        </w:tc>
        <w:tc>
          <w:tcPr>
            <w:tcW w:type="dxa" w:w="23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Nur Lesen</w:t>
            </w:r>
          </w:p>
        </w:tc>
        <w:tc>
          <w:tcPr>
            <w:tcW w:type="dxa" w:w="48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Nur freigegebene Auswertungen in 03_BI\Exporte öffnen</w:t>
            </w:r>
          </w:p>
        </w:tc>
      </w:tr>
      <w:tr>
        <w:tc>
          <w:tcPr>
            <w:tcW w:type="dxa" w:w="22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Gateway-Dienstkonto</w:t>
            </w:r>
          </w:p>
        </w:tc>
        <w:tc>
          <w:tcPr>
            <w:tcW w:type="dxa" w:w="23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Nur Lesen</w:t>
            </w:r>
          </w:p>
        </w:tc>
        <w:tc>
          <w:tcPr>
            <w:tcW w:type="dxa" w:w="48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Automatische Aktualisierung der Quelldateien</w:t>
            </w:r>
          </w:p>
        </w:tc>
      </w:tr>
    </w:tbl>
    <w:p>
      <w:pPr>
        <w:pStyle w:val="Heading2"/>
      </w:pPr>
      <w:r>
        <w:t>Empfohlene Gruppenbezeichnungen</w:t>
      </w:r>
    </w:p>
    <w:p>
      <w:pPr>
        <w:pStyle w:val="ListBullet"/>
      </w:pPr>
      <w:r>
        <w:t>GG_Fuhrpark_Admin</w:t>
      </w:r>
    </w:p>
    <w:p>
      <w:pPr>
        <w:pStyle w:val="ListBullet"/>
      </w:pPr>
      <w:r>
        <w:t>GG_Fuhrpark_Datenpflege</w:t>
      </w:r>
    </w:p>
    <w:p>
      <w:pPr>
        <w:pStyle w:val="ListBullet"/>
      </w:pPr>
      <w:r>
        <w:t>GG_Fuhrpark_BI</w:t>
      </w:r>
    </w:p>
    <w:p>
      <w:pPr>
        <w:pStyle w:val="ListBullet"/>
      </w:pPr>
      <w:r>
        <w:t>GG_Fuhrpark_Leser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"/>
        <w:gridCol w:w="9180"/>
      </w:tblGrid>
      <w:tr>
        <w:tc>
          <w:tcPr>
            <w:tcW w:type="dxa" w:w="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D8A83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FFFFFF"/>
                <w:sz w:val="19"/>
              </w:rPr>
            </w:r>
          </w:p>
        </w:tc>
        <w:tc>
          <w:tcPr>
            <w:tcW w:type="dxa" w:w="9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7FA"/>
          </w:tcPr>
          <w:p>
            <w:pPr>
              <w:spacing w:after="40"/>
            </w:pPr>
            <w:r/>
            <w:r>
              <w:rPr>
                <w:b/>
                <w:color w:val="17324D"/>
                <w:sz w:val="20"/>
              </w:rPr>
              <w:t>Grundregel</w:t>
            </w:r>
          </w:p>
          <w:p>
            <w:pPr>
              <w:spacing w:after="0"/>
            </w:pPr>
            <w:r>
              <w:rPr>
                <w:color w:val="263442"/>
                <w:sz w:val="19"/>
              </w:rPr>
              <w:t>So wenig Rechte wie nötig: Leser erhalten keinen Schreibzugriff. Datenpflege darf keine Berechtigungen ändern. Das Gateway-Dienstkonto benötigt normalerweise nur Leserechte. Vermeiden Sie ausdrücklich gesetzte „Verweigern“-Einträge.</w:t>
            </w:r>
          </w:p>
        </w:tc>
      </w:tr>
    </w:tbl>
    <w:p>
      <w:pPr>
        <w:spacing w:after="0"/>
      </w:pPr>
    </w:p>
    <w:p>
      <w:pPr>
        <w:pStyle w:val="Heading2"/>
      </w:pPr>
      <w:r>
        <w:t>Besonders schützenswerte Daten</w:t>
      </w:r>
    </w:p>
    <w:p>
      <w:r>
        <w:t>Der Ordner 02_Stammdaten\Nutzer kann Namen, Kartennummern oder Zuordnungen zu Tankvorgängen enthalten. Zugriff nur für Fuhrpark-Admin, Datenpflege und erforderliche BI-Verantwortliche gewähren. Externe Empfänger erhalten ausschließlich freigegebene Auswertungen ohne unnötige personenbezogene Einzelangaben.</w:t>
      </w:r>
    </w:p>
    <w:p>
      <w:r>
        <w:br w:type="page"/>
      </w:r>
    </w:p>
    <w:p>
      <w:pPr>
        <w:pStyle w:val="Heading1"/>
      </w:pPr>
      <w:r>
        <w:t>3. Windows-Netzlaufwerk einrichten</w:t>
      </w:r>
    </w:p>
    <w:p>
      <w:r>
        <w:t>Dieser Weg passt, wenn alle Beteiligten über das Firmennetz oder VPN auf einen Dateiserver zugreifen.</w:t>
      </w:r>
    </w:p>
    <w:p>
      <w:pPr>
        <w:pStyle w:val="Heading2"/>
      </w:pPr>
      <w:r>
        <w:t>A. Ordner und Freigabe</w:t>
      </w:r>
    </w:p>
    <w:p>
      <w:pPr>
        <w:pStyle w:val="ListNumber"/>
      </w:pPr>
      <w:r>
        <w:t>Auf dem Dateiserver den Hauptordner Fuhrpark-Daten und alle Unterordner aus Abschnitt 1 anlegen.</w:t>
      </w:r>
    </w:p>
    <w:p>
      <w:pPr>
        <w:pStyle w:val="ListNumber"/>
      </w:pPr>
      <w:r>
        <w:t>Mit der rechten Maustaste auf Fuhrpark-Daten klicken und Eigenschaften → Freigabe → Erweiterte Freigabe öffnen.</w:t>
      </w:r>
    </w:p>
    <w:p>
      <w:pPr>
        <w:pStyle w:val="ListNumber"/>
      </w:pPr>
      <w:r>
        <w:t>Den Ordner freigeben und einen eindeutigen Freigabenamen vergeben, zum Beispiel Fuhrpark-Daten.</w:t>
      </w:r>
    </w:p>
    <w:p>
      <w:pPr>
        <w:pStyle w:val="ListNumber"/>
      </w:pPr>
      <w:r>
        <w:t>Den vollständigen Pfad notieren, zum Beispiel \\SERVER\Fuhrpark-Daten. Genau diesen Pfad später in Power BI verwenden.</w:t>
      </w:r>
    </w:p>
    <w:p>
      <w:pPr>
        <w:pStyle w:val="ListNumber"/>
      </w:pPr>
      <w:r>
        <w:t>Freigaberechte nach Firmenstandard setzen. Die feinere Steuerung erfolgt anschließend im Reiter Sicherheit.</w:t>
      </w:r>
    </w:p>
    <w:p>
      <w:pPr>
        <w:pStyle w:val="Heading2"/>
      </w:pPr>
      <w:r>
        <w:t>B. NTFS-Sicherheit</w:t>
      </w:r>
    </w:p>
    <w:p>
      <w:pPr>
        <w:pStyle w:val="ListNumber"/>
      </w:pPr>
      <w:r>
        <w:t>Eigenschaften → Sicherheit → Erweitert öffnen.</w:t>
      </w:r>
    </w:p>
    <w:p>
      <w:pPr>
        <w:pStyle w:val="ListNumber"/>
      </w:pPr>
      <w:r>
        <w:t>Vererbung am Hauptordner eingeschaltet lassen und die vier Gruppen aus Abschnitt 2 hinzufügen.</w:t>
      </w:r>
    </w:p>
    <w:p>
      <w:pPr>
        <w:pStyle w:val="ListNumber"/>
      </w:pPr>
      <w:r>
        <w:t>GG_Fuhrpark_Admin erhält Vollzugriff; GG_Fuhrpark_Datenpflege erhält Ändern; GG_Fuhrpark_BI erhält Lesen.</w:t>
      </w:r>
    </w:p>
    <w:p>
      <w:pPr>
        <w:pStyle w:val="ListNumber"/>
      </w:pPr>
      <w:r>
        <w:t>GG_Fuhrpark_Leser erhält am Hauptordner keinen allgemeinen Zugriff, sondern nur Lesen auf 03_BI\Exporte.</w:t>
      </w:r>
    </w:p>
    <w:p>
      <w:pPr>
        <w:pStyle w:val="ListNumber"/>
      </w:pPr>
      <w:r>
        <w:t>Für 03_BI\PowerBI der Gruppe GG_Fuhrpark_BI die Berechtigung Ändern geben.</w:t>
      </w:r>
    </w:p>
    <w:p>
      <w:pPr>
        <w:pStyle w:val="ListNumber"/>
      </w:pPr>
      <w:r>
        <w:t>Für 02_Stammdaten\Nutzer den Leserkreis auf die wirklich erforderlichen Gruppen begrenzen.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"/>
        <w:gridCol w:w="9180"/>
      </w:tblGrid>
      <w:tr>
        <w:tc>
          <w:tcPr>
            <w:tcW w:type="dxa" w:w="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D9A441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FFFFFF"/>
                <w:sz w:val="19"/>
              </w:rPr>
            </w:r>
          </w:p>
        </w:tc>
        <w:tc>
          <w:tcPr>
            <w:tcW w:type="dxa" w:w="9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7FA"/>
          </w:tcPr>
          <w:p>
            <w:pPr>
              <w:spacing w:after="40"/>
            </w:pPr>
            <w:r/>
            <w:r>
              <w:rPr>
                <w:b/>
                <w:color w:val="17324D"/>
                <w:sz w:val="20"/>
              </w:rPr>
              <w:t>Freigabe und Sicherheit wirken gemeinsam</w:t>
            </w:r>
          </w:p>
          <w:p>
            <w:pPr>
              <w:spacing w:after="0"/>
            </w:pPr>
            <w:r>
              <w:rPr>
                <w:color w:val="263442"/>
                <w:sz w:val="19"/>
              </w:rPr>
              <w:t>Bei einem Netzwerkordner gilt immer die strengere Kombination aus Freigaberecht und NTFS-Sicherheitsrecht. Wenn jemand trotz korrekter Sicherheitsrechte nicht schreiben kann, müssen deshalb beide Stellen geprüft werden.</w:t>
            </w:r>
          </w:p>
        </w:tc>
      </w:tr>
    </w:tbl>
    <w:p>
      <w:pPr>
        <w:spacing w:after="0"/>
      </w:pPr>
    </w:p>
    <w:p>
      <w:pPr>
        <w:pStyle w:val="Heading2"/>
      </w:pPr>
      <w:r>
        <w:t>C. Power BI verbinden</w:t>
      </w:r>
    </w:p>
    <w:p>
      <w:pPr>
        <w:pStyle w:val="ListNumber"/>
      </w:pPr>
      <w:r>
        <w:t>In Power BI Desktop Daten abrufen → Ordner wählen.</w:t>
      </w:r>
    </w:p>
    <w:p>
      <w:pPr>
        <w:pStyle w:val="ListNumber"/>
      </w:pPr>
      <w:r>
        <w:t>Den UNC-Pfad \\SERVER\Fuhrpark-Daten\01_Tankvorgaenge\Eingang eintragen.</w:t>
      </w:r>
    </w:p>
    <w:p>
      <w:pPr>
        <w:pStyle w:val="ListNumber"/>
      </w:pPr>
      <w:r>
        <w:t>Keine Laufwerksbuchstaben wie X:\ und keine persönlichen C:\Benutzer\…-Pfade verwenden.</w:t>
      </w:r>
    </w:p>
    <w:p>
      <w:pPr>
        <w:pStyle w:val="ListNumber"/>
      </w:pPr>
      <w:r>
        <w:t>Für automatische Aktualisierung sicherstellen, dass das Gateway-Dienstkonto denselben UNC-Pfad lesen kann.</w:t>
      </w:r>
    </w:p>
    <w:p>
      <w:r>
        <w:br w:type="page"/>
      </w:r>
    </w:p>
    <w:p>
      <w:pPr>
        <w:pStyle w:val="Heading1"/>
      </w:pPr>
      <w:r>
        <w:t>4. SharePoint oder Teams einrichten</w:t>
      </w:r>
    </w:p>
    <w:p>
      <w:r>
        <w:t>Dieser Weg passt, wenn Microsoft 365 genutzt wird und Dateien ortsunabhängig bereitstehen sollen. Die Dateien eines Teams-Kanals liegen technisch in SharePoint.</w:t>
      </w:r>
    </w:p>
    <w:p>
      <w:pPr>
        <w:pStyle w:val="ListNumber"/>
      </w:pPr>
      <w:r>
        <w:t>Eine SharePoint-Seite oder ein passendes Team auswählen. In der Dokumentbibliothek einen Hauptordner Fuhrpark-Daten anlegen.</w:t>
      </w:r>
    </w:p>
    <w:p>
      <w:pPr>
        <w:pStyle w:val="ListNumber"/>
      </w:pPr>
      <w:r>
        <w:t>Alle Unterordner aus Abschnitt 1 erstellen und die Versionierung der Dokumentbibliothek eingeschaltet lassen.</w:t>
      </w:r>
    </w:p>
    <w:p>
      <w:pPr>
        <w:pStyle w:val="ListNumber"/>
      </w:pPr>
      <w:r>
        <w:t>Mitglieder den Rollen zuordnen: Besitzer = Fuhrpark-Admin, Mitglieder = Datenpflege/BI, Besucher = Leser.</w:t>
      </w:r>
    </w:p>
    <w:p>
      <w:pPr>
        <w:pStyle w:val="ListNumber"/>
      </w:pPr>
      <w:r>
        <w:t>Für 03_BI\Exporte eine eigene Lesefreigabe für Management einrichten. Anonyme Links deaktivieren.</w:t>
      </w:r>
    </w:p>
    <w:p>
      <w:pPr>
        <w:pStyle w:val="ListNumber"/>
      </w:pPr>
      <w:r>
        <w:t>Für 02_Stammdaten\Nutzer bei Bedarf die Berechtigungsvererbung gezielt unterbrechen und nur den erforderlichen Personenkreis zulassen.</w:t>
      </w:r>
    </w:p>
    <w:p>
      <w:pPr>
        <w:pStyle w:val="Heading2"/>
      </w:pPr>
      <w:r>
        <w:t>Power BI richtig verbinden</w:t>
      </w:r>
    </w:p>
    <w:p>
      <w:pPr>
        <w:pStyle w:val="ListNumber"/>
      </w:pPr>
      <w:r>
        <w:t>In Power BI Desktop Daten abrufen → SharePoint-Ordner wählen.</w:t>
      </w:r>
    </w:p>
    <w:p>
      <w:pPr>
        <w:pStyle w:val="ListNumber"/>
      </w:pPr>
      <w:r>
        <w:t>Nur die Website-Adresse eingeben, zum Beispiel https://firma.sharepoint.com/sites/Fuhrpark – nicht den vollständigen Dateipfad.</w:t>
      </w:r>
    </w:p>
    <w:p>
      <w:pPr>
        <w:pStyle w:val="ListNumber"/>
      </w:pPr>
      <w:r>
        <w:t>Nach der Anmeldung in Power Query auf den gewünschten Ordnerpfad filtern.</w:t>
      </w:r>
    </w:p>
    <w:p>
      <w:pPr>
        <w:pStyle w:val="ListNumber"/>
      </w:pPr>
      <w:r>
        <w:t>Nicht den lokal synchronisierten OneDrive-Pfad C:\Benutzer\Name\… verwenden. Dieser funktioniert bei anderen Personen meist nicht.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"/>
        <w:gridCol w:w="9180"/>
      </w:tblGrid>
      <w:tr>
        <w:tc>
          <w:tcPr>
            <w:tcW w:type="dxa" w:w="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D8A83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FFFFFF"/>
                <w:sz w:val="19"/>
              </w:rPr>
            </w:r>
          </w:p>
        </w:tc>
        <w:tc>
          <w:tcPr>
            <w:tcW w:type="dxa" w:w="9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7FA"/>
          </w:tcPr>
          <w:p>
            <w:pPr>
              <w:spacing w:after="40"/>
            </w:pPr>
            <w:r/>
            <w:r>
              <w:rPr>
                <w:b/>
                <w:color w:val="17324D"/>
                <w:sz w:val="20"/>
              </w:rPr>
              <w:t>Weitergabe ohne Anmeldung</w:t>
            </w:r>
          </w:p>
          <w:p>
            <w:pPr>
              <w:spacing w:after="0"/>
            </w:pPr>
            <w:r>
              <w:rPr>
                <w:color w:val="263442"/>
                <w:sz w:val="19"/>
              </w:rPr>
              <w:t>Die beigefügten Dateien und freigegebenen PDF-/Excel-Exporte lassen sich lokal ohne Anmeldung öffnen. Die gemeinsame Datenablage selbst sollte aus Datenschutzgründen nicht anonym freigegeben werden.</w:t>
            </w:r>
          </w:p>
        </w:tc>
      </w:tr>
    </w:tbl>
    <w:p>
      <w:pPr>
        <w:spacing w:after="0"/>
      </w:pPr>
    </w:p>
    <w:p>
      <w:pPr>
        <w:pStyle w:val="Heading1"/>
      </w:pPr>
      <w:r>
        <w:t>5. Automatische Aktualisierung</w:t>
      </w:r>
    </w:p>
    <w:p>
      <w:pPr>
        <w:pStyle w:val="ListBullet"/>
      </w:pPr>
      <w:r>
        <w:t>Netzlaufwerk: Ein lokales Datengateway installieren und dessen Dienstkonto mit Leserechten auf dem UNC-Pfad ausstatten.</w:t>
      </w:r>
    </w:p>
    <w:p>
      <w:pPr>
        <w:pStyle w:val="ListBullet"/>
      </w:pPr>
      <w:r>
        <w:t>SharePoint Online: In vielen Fällen ist kein lokales Gateway erforderlich; die Anmeldedaten der Datenquelle werden im Power-BI-Dienst hinterlegt.</w:t>
      </w:r>
    </w:p>
    <w:p>
      <w:pPr>
        <w:pStyle w:val="ListBullet"/>
      </w:pPr>
      <w:r>
        <w:t>Nach jeder Änderung an Pfaden oder Konten eine manuelle Aktualisierung testen.</w:t>
      </w:r>
    </w:p>
    <w:p>
      <w:pPr>
        <w:pStyle w:val="ListBullet"/>
      </w:pPr>
      <w:r>
        <w:t>Kennwörter niemals in Excel-, CSV- oder Textdateien im Datenordner speichern.</w:t>
      </w:r>
    </w:p>
    <w:p>
      <w:r>
        <w:br w:type="page"/>
      </w:r>
    </w:p>
    <w:p>
      <w:pPr>
        <w:pStyle w:val="Heading1"/>
      </w:pPr>
      <w:r>
        <w:t>6. Einrichtung testen</w:t>
      </w:r>
    </w:p>
    <w:p>
      <w:r>
        <w:t>Der Test sollte mit je einer echten Testperson pro Rolle durchgeführt werden – nicht nur mit einem Administratorkonto.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900"/>
        <w:gridCol w:w="3850"/>
        <w:gridCol w:w="3610"/>
      </w:tblGrid>
      <w:t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Testrolle</w:t>
            </w:r>
          </w:p>
        </w:tc>
        <w:tc>
          <w:tcPr>
            <w:tcW w:type="dxa" w:w="3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Muss funktionieren</w:t>
            </w:r>
          </w:p>
        </w:tc>
        <w:tc>
          <w:tcPr>
            <w:tcW w:type="dxa" w:w="36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Muss eingeschränkt sein</w:t>
            </w:r>
          </w:p>
        </w:tc>
      </w:tr>
      <w:tr>
        <w:tc>
          <w:tcPr>
            <w:tcW w:type="dxa" w:w="19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Datenpflege</w:t>
            </w:r>
          </w:p>
        </w:tc>
        <w:tc>
          <w:tcPr>
            <w:tcW w:type="dxa" w:w="385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Kann eine Test-CSV in Eingang ablegen und bearbeiten</w:t>
            </w:r>
          </w:p>
        </w:tc>
        <w:tc>
          <w:tcPr>
            <w:tcW w:type="dxa" w:w="361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Kann keine Berechtigungen ändern</w:t>
            </w:r>
          </w:p>
        </w:tc>
      </w:tr>
      <w:tr>
        <w:tc>
          <w:tcPr>
            <w:tcW w:type="dxa" w:w="19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BI-Bearbeitung</w:t>
            </w:r>
          </w:p>
        </w:tc>
        <w:tc>
          <w:tcPr>
            <w:tcW w:type="dxa" w:w="385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Kann Quelldaten lesen und die BI-Datei speichern</w:t>
            </w:r>
          </w:p>
        </w:tc>
        <w:tc>
          <w:tcPr>
            <w:tcW w:type="dxa" w:w="361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Kann geschützte Nutzerdateien nur bei Bedarf lesen</w:t>
            </w:r>
          </w:p>
        </w:tc>
      </w:tr>
      <w:tr>
        <w:tc>
          <w:tcPr>
            <w:tcW w:type="dxa" w:w="19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Leser</w:t>
            </w:r>
          </w:p>
        </w:tc>
        <w:tc>
          <w:tcPr>
            <w:tcW w:type="dxa" w:w="385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Kann einen freigegebenen Export öffnen</w:t>
            </w:r>
          </w:p>
        </w:tc>
        <w:tc>
          <w:tcPr>
            <w:tcW w:type="dxa" w:w="361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Kann ihn nicht überschreiben und sieht keine Quelldaten</w:t>
            </w:r>
          </w:p>
        </w:tc>
      </w:tr>
      <w:tr>
        <w:tc>
          <w:tcPr>
            <w:tcW w:type="dxa" w:w="19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Gateway</w:t>
            </w:r>
          </w:p>
        </w:tc>
        <w:tc>
          <w:tcPr>
            <w:tcW w:type="dxa" w:w="385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Manuelle und geplante Aktualisierung laufen erfolgreich</w:t>
            </w:r>
          </w:p>
        </w:tc>
        <w:tc>
          <w:tcPr>
            <w:tcW w:type="dxa" w:w="361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Benötigt keinen Schreibzugriff</w:t>
            </w:r>
          </w:p>
        </w:tc>
      </w:tr>
      <w:tr>
        <w:tc>
          <w:tcPr>
            <w:tcW w:type="dxa" w:w="19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Externer Empfänger</w:t>
            </w:r>
          </w:p>
        </w:tc>
        <w:tc>
          <w:tcPr>
            <w:tcW w:type="dxa" w:w="385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Kann die übergebene PDF/Excel/HTML-Datei lokal öffnen</w:t>
            </w:r>
          </w:p>
        </w:tc>
        <w:tc>
          <w:tcPr>
            <w:tcW w:type="dxa" w:w="361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Erhält keinen anonymen Zugriff auf die zentrale Ablage</w:t>
            </w:r>
          </w:p>
        </w:tc>
      </w:tr>
    </w:tbl>
    <w:p>
      <w:pPr>
        <w:pStyle w:val="Heading1"/>
      </w:pPr>
      <w:r>
        <w:t>7. Monatlicher Ablauf</w:t>
      </w:r>
    </w:p>
    <w:p>
      <w:pPr>
        <w:pStyle w:val="ListNumber"/>
      </w:pPr>
      <w:r>
        <w:t>Neue Tankdatei mit dem vereinbarten Dateinamen in 01_Tankvorgaenge\Eingang ablegen.</w:t>
      </w:r>
    </w:p>
    <w:p>
      <w:pPr>
        <w:pStyle w:val="ListNumber"/>
      </w:pPr>
      <w:r>
        <w:t>Prüfen, ob Spalten und Datums-/Zahlenformate unverändert sind.</w:t>
      </w:r>
    </w:p>
    <w:p>
      <w:pPr>
        <w:pStyle w:val="ListNumber"/>
      </w:pPr>
      <w:r>
        <w:t>Power BI aktualisieren und die Fehler- bzw. Prüfliste kontrollieren.</w:t>
      </w:r>
    </w:p>
    <w:p>
      <w:pPr>
        <w:pStyle w:val="ListNumber"/>
      </w:pPr>
      <w:r>
        <w:t>Auswertung fachlich freigeben und bei Bedarf nach 03_BI\Exporte exportieren.</w:t>
      </w:r>
    </w:p>
    <w:p>
      <w:pPr>
        <w:pStyle w:val="ListNumber"/>
      </w:pPr>
      <w:r>
        <w:t>Verarbeitete Quelldateien nach dem vereinbarten Verfahren archivieren, ohne sie erneut einzulesen.</w:t>
      </w:r>
    </w:p>
    <w:p>
      <w:pPr>
        <w:pStyle w:val="Heading1"/>
      </w:pPr>
      <w:r>
        <w:t>8. Häufige Fehler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400"/>
        <w:gridCol w:w="3180"/>
        <w:gridCol w:w="3780"/>
      </w:tblGrid>
      <w:tr>
        <w:tc>
          <w:tcPr>
            <w:tcW w:type="dxa" w:w="2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Fehlerbild</w:t>
            </w:r>
          </w:p>
        </w:tc>
        <w:tc>
          <w:tcPr>
            <w:tcW w:type="dxa" w:w="3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Typische Ursache</w:t>
            </w:r>
          </w:p>
        </w:tc>
        <w:tc>
          <w:tcPr>
            <w:tcW w:type="dxa" w:w="37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Lösung</w:t>
            </w:r>
          </w:p>
        </w:tc>
      </w:tr>
      <w:tr>
        <w:tc>
          <w:tcPr>
            <w:tcW w:type="dxa" w:w="24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„Pfad nicht gefunden“</w:t>
            </w:r>
          </w:p>
        </w:tc>
        <w:tc>
          <w:tcPr>
            <w:tcW w:type="dxa" w:w="318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Persönlicher Pfad oder Laufwerksbuchstabe</w:t>
            </w:r>
          </w:p>
        </w:tc>
        <w:tc>
          <w:tcPr>
            <w:tcW w:type="dxa" w:w="378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UNC-Pfad bzw. SharePoint-Ordner verwenden</w:t>
            </w:r>
          </w:p>
        </w:tc>
      </w:tr>
      <w:tr>
        <w:tc>
          <w:tcPr>
            <w:tcW w:type="dxa" w:w="24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Andere Person sieht keine Daten</w:t>
            </w:r>
          </w:p>
        </w:tc>
        <w:tc>
          <w:tcPr>
            <w:tcW w:type="dxa" w:w="318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Fehlende Gruppenmitgliedschaft</w:t>
            </w:r>
          </w:p>
        </w:tc>
        <w:tc>
          <w:tcPr>
            <w:tcW w:type="dxa" w:w="378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Gruppe und beide Berechtigungsebenen prüfen</w:t>
            </w:r>
          </w:p>
        </w:tc>
      </w:tr>
      <w:tr>
        <w:tc>
          <w:tcPr>
            <w:tcW w:type="dxa" w:w="24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Aktualisierung im Dienst scheitert</w:t>
            </w:r>
          </w:p>
        </w:tc>
        <w:tc>
          <w:tcPr>
            <w:tcW w:type="dxa" w:w="318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Gateway-Konto hat keinen Quellzugriff</w:t>
            </w:r>
          </w:p>
        </w:tc>
        <w:tc>
          <w:tcPr>
            <w:tcW w:type="dxa" w:w="378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Leserecht auf UNC-Pfad vergeben</w:t>
            </w:r>
          </w:p>
        </w:tc>
      </w:tr>
      <w:tr>
        <w:tc>
          <w:tcPr>
            <w:tcW w:type="dxa" w:w="24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Werte erscheinen doppelt</w:t>
            </w:r>
          </w:p>
        </w:tc>
        <w:tc>
          <w:tcPr>
            <w:tcW w:type="dxa" w:w="318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Datei liegt mehrfach in eingelesenen Ordnern</w:t>
            </w:r>
          </w:p>
        </w:tc>
        <w:tc>
          <w:tcPr>
            <w:tcW w:type="dxa" w:w="378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Abfrage auf Eingang begrenzen; Dubletten prüfen</w:t>
            </w:r>
          </w:p>
        </w:tc>
      </w:tr>
      <w:tr>
        <w:tc>
          <w:tcPr>
            <w:tcW w:type="dxa" w:w="24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Leser kann Dateien ändern</w:t>
            </w:r>
          </w:p>
        </w:tc>
        <w:tc>
          <w:tcPr>
            <w:tcW w:type="dxa" w:w="318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Zu weit gefasste Mitglieder-/Ändern-Rechte</w:t>
            </w:r>
          </w:p>
        </w:tc>
        <w:tc>
          <w:tcPr>
            <w:tcW w:type="dxa" w:w="378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Nur Lesen auf 03_BI\Exporte vergeben</w:t>
            </w:r>
          </w:p>
        </w:tc>
      </w:tr>
      <w:tr>
        <w:tc>
          <w:tcPr>
            <w:tcW w:type="dxa" w:w="24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SharePoint funktioniert nur bei einer Person</w:t>
            </w:r>
          </w:p>
        </w:tc>
        <w:tc>
          <w:tcPr>
            <w:tcW w:type="dxa" w:w="318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Lokaler Synchronisierungspfad verwendet</w:t>
            </w:r>
          </w:p>
        </w:tc>
        <w:tc>
          <w:tcPr>
            <w:tcW w:type="dxa" w:w="378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SharePoint-Ordner-Connector neu einrichten</w:t>
            </w:r>
          </w:p>
        </w:tc>
      </w:tr>
    </w:tbl>
    <w:p>
      <w:r>
        <w:br w:type="page"/>
      </w:r>
    </w:p>
    <w:p>
      <w:pPr>
        <w:pStyle w:val="Heading1"/>
      </w:pPr>
      <w:r>
        <w:t>9. Übergabe- und Sicherheitscheckliste</w:t>
      </w:r>
    </w:p>
    <w:p>
      <w:pPr>
        <w:pStyle w:val="ListBullet"/>
      </w:pPr>
      <w:r>
        <w:t>Hauptverantwortliche Person und Stellvertretung sind benannt.</w:t>
      </w:r>
    </w:p>
    <w:p>
      <w:pPr>
        <w:pStyle w:val="ListBullet"/>
      </w:pPr>
      <w:r>
        <w:t>UNC-Pfad oder SharePoint-Seitenadresse ist in 05_Dokumentation hinterlegt.</w:t>
      </w:r>
    </w:p>
    <w:p>
      <w:pPr>
        <w:pStyle w:val="ListBullet"/>
      </w:pPr>
      <w:r>
        <w:t>Gruppenmitglieder wurden kontrolliert; ehemalige Nutzer wurden entfernt.</w:t>
      </w:r>
    </w:p>
    <w:p>
      <w:pPr>
        <w:pStyle w:val="ListBullet"/>
      </w:pPr>
      <w:r>
        <w:t>Leser können ausschließlich freigegebene Auswertungen öffnen.</w:t>
      </w:r>
    </w:p>
    <w:p>
      <w:pPr>
        <w:pStyle w:val="ListBullet"/>
      </w:pPr>
      <w:r>
        <w:t>Nutzer-/Kartendaten sind nicht öffentlich oder anonym freigegeben.</w:t>
      </w:r>
    </w:p>
    <w:p>
      <w:pPr>
        <w:pStyle w:val="ListBullet"/>
      </w:pPr>
      <w:r>
        <w:t>Versionierung, Papierkorb oder eine andere Wiederherstellungsmöglichkeit ist aktiv.</w:t>
      </w:r>
    </w:p>
    <w:p>
      <w:pPr>
        <w:pStyle w:val="ListBullet"/>
      </w:pPr>
      <w:r>
        <w:t>Sicherung und Aufbewahrungsfrist sind mit IT und Datenschutz abgestimmt.</w:t>
      </w:r>
    </w:p>
    <w:p>
      <w:pPr>
        <w:pStyle w:val="ListBullet"/>
      </w:pPr>
      <w:r>
        <w:t>Power-BI-Aktualisierung wurde mit dem später verwendeten Konto erfolgreich getestet.</w:t>
      </w:r>
    </w:p>
    <w:p>
      <w:pPr>
        <w:pStyle w:val="ListBullet"/>
      </w:pPr>
      <w:r>
        <w:t>Ein Wiederherstellungstest für eine versehentlich gelöschte Datei wurde durchgeführt.</w:t>
      </w:r>
    </w:p>
    <w:p>
      <w:pPr>
        <w:pStyle w:val="ListBullet"/>
      </w:pPr>
      <w:r>
        <w:t>Ein Termin zur halbjährlichen Prüfung der Berechtigungen ist festgelegt.</w:t>
      </w:r>
    </w:p>
    <w:p>
      <w:pPr>
        <w:pStyle w:val="Heading2"/>
      </w:pPr>
      <w:r>
        <w:t>Dokumentation der Einrichtung</w:t>
      </w:r>
    </w:p>
    <w:tbl>
      <w:tblPr>
        <w:tblStyle w:val="TableGrid"/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000"/>
        <w:gridCol w:w="6360"/>
      </w:tblGrid>
      <w:tr>
        <w:tc>
          <w:tcPr>
            <w:tcW w:type="dxa" w:w="3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Angabe</w:t>
            </w:r>
          </w:p>
        </w:tc>
        <w:tc>
          <w:tcPr>
            <w:tcW w:type="dxa" w:w="6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/>
                <w:color w:val="17324D"/>
                <w:sz w:val="19"/>
              </w:rPr>
              <w:t>Eintrag</w:t>
            </w:r>
          </w:p>
        </w:tc>
      </w:tr>
      <w:tr>
        <w:tc>
          <w:tcPr>
            <w:tcW w:type="dxa" w:w="30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Speicherort / URL</w:t>
            </w:r>
          </w:p>
        </w:tc>
        <w:tc>
          <w:tcPr>
            <w:tcW w:type="dxa" w:w="63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_______________________________________________</w:t>
            </w:r>
          </w:p>
        </w:tc>
      </w:tr>
      <w:tr>
        <w:tc>
          <w:tcPr>
            <w:tcW w:type="dxa" w:w="30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Fuhrpark-Admin</w:t>
            </w:r>
          </w:p>
        </w:tc>
        <w:tc>
          <w:tcPr>
            <w:tcW w:type="dxa" w:w="63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_______________________________________________</w:t>
            </w:r>
          </w:p>
        </w:tc>
      </w:tr>
      <w:tr>
        <w:tc>
          <w:tcPr>
            <w:tcW w:type="dxa" w:w="30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BI-Verantwortung</w:t>
            </w:r>
          </w:p>
        </w:tc>
        <w:tc>
          <w:tcPr>
            <w:tcW w:type="dxa" w:w="63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_______________________________________________</w:t>
            </w:r>
          </w:p>
        </w:tc>
      </w:tr>
      <w:tr>
        <w:tc>
          <w:tcPr>
            <w:tcW w:type="dxa" w:w="30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Gateway-/Dienstkonto</w:t>
            </w:r>
          </w:p>
        </w:tc>
        <w:tc>
          <w:tcPr>
            <w:tcW w:type="dxa" w:w="63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_______________________________________________</w:t>
            </w:r>
          </w:p>
        </w:tc>
      </w:tr>
      <w:tr>
        <w:tc>
          <w:tcPr>
            <w:tcW w:type="dxa" w:w="30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Vertretung</w:t>
            </w:r>
          </w:p>
        </w:tc>
        <w:tc>
          <w:tcPr>
            <w:tcW w:type="dxa" w:w="63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_______________________________________________</w:t>
            </w:r>
          </w:p>
        </w:tc>
      </w:tr>
      <w:tr>
        <w:tc>
          <w:tcPr>
            <w:tcW w:type="dxa" w:w="300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Letzter Berechtigungstest</w:t>
            </w:r>
          </w:p>
        </w:tc>
        <w:tc>
          <w:tcPr>
            <w:tcW w:type="dxa" w:w="6360"/>
            <w:shd w:fill="F8FAFC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_______________________________________________</w:t>
            </w:r>
          </w:p>
        </w:tc>
      </w:tr>
      <w:tr>
        <w:tc>
          <w:tcPr>
            <w:tcW w:type="dxa" w:w="300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Nächste Prüfung</w:t>
            </w:r>
          </w:p>
        </w:tc>
        <w:tc>
          <w:tcPr>
            <w:tcW w:type="dxa" w:w="6360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263442"/>
                <w:sz w:val="19"/>
              </w:rPr>
              <w:t>_______________________________________________</w:t>
            </w:r>
          </w:p>
        </w:tc>
      </w:tr>
    </w:tbl>
    <w:p>
      <w:pPr>
        <w:pStyle w:val="Heading2"/>
      </w:pPr>
      <w:r>
        <w:t>Datenschutz-Hinweis</w:t>
      </w:r>
    </w:p>
    <w:p>
      <w:r>
        <w:t>Tankvorgänge können einer Person zugeordnet sein und damit personenbezogene Daten enthalten. Nur erforderliche Angaben auswerten, Zugriffe protokollierbar halten und Aufbewahrungsfristen festlegen. Bei Unsicherheit die zuständige Datenschutz- oder IT-Stelle einbeziehen.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"/>
        <w:gridCol w:w="9180"/>
      </w:tblGrid>
      <w:tr>
        <w:tc>
          <w:tcPr>
            <w:tcW w:type="dxa" w:w="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D8A83"/>
          </w:tcPr>
          <w:p>
            <w:pPr>
              <w:spacing w:after="0" w:line="252" w:lineRule="auto"/>
            </w:pPr>
            <w:r/>
            <w:r>
              <w:rPr>
                <w:rFonts w:ascii="Calibri" w:hAnsi="Calibri"/>
                <w:b w:val="0"/>
                <w:color w:val="FFFFFF"/>
                <w:sz w:val="19"/>
              </w:rPr>
            </w:r>
          </w:p>
        </w:tc>
        <w:tc>
          <w:tcPr>
            <w:tcW w:type="dxa" w:w="91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7FA"/>
          </w:tcPr>
          <w:p>
            <w:pPr>
              <w:spacing w:after="40"/>
            </w:pPr>
            <w:r/>
            <w:r>
              <w:rPr>
                <w:b/>
                <w:color w:val="17324D"/>
                <w:sz w:val="20"/>
              </w:rPr>
              <w:t>Einrichtung abgeschlossen</w:t>
            </w:r>
          </w:p>
          <w:p>
            <w:pPr>
              <w:spacing w:after="0"/>
            </w:pPr>
            <w:r>
              <w:rPr>
                <w:color w:val="263442"/>
                <w:sz w:val="19"/>
              </w:rPr>
              <w:t>Die Ablage ist erst dann übergabefertig, wenn mindestens Datenpflege, BI-Bearbeitung, Leser und – falls genutzt – das Gateway mit ihren eigenen Konten erfolgreich getestet wurden.</w:t>
            </w:r>
          </w:p>
        </w:tc>
      </w:tr>
    </w:tbl>
    <w:p>
      <w:pPr>
        <w:spacing w:after="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224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color w:val="5D6B78"/>
        <w:sz w:val="16"/>
      </w:rPr>
      <w:t>Interne Einrichtungsanleitung · Stand 26.07.2026</w:t>
    </w:r>
  </w:p>
  <w:p>
    <w:pPr>
      <w:jc w:val="right"/>
    </w:pPr>
    <w:r>
      <w:rPr>
        <w:color w:val="5D6B78"/>
        <w:sz w:val="16"/>
      </w:rPr>
      <w:t xml:space="preserve">Seite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b/>
        <w:color w:val="236B8E"/>
        <w:sz w:val="16"/>
      </w:rPr>
      <w:t>FUHRPARK COCKPIT</w:t>
    </w:r>
    <w:r>
      <w:rPr>
        <w:color w:val="5D6B78"/>
      </w:rPr>
      <w:t xml:space="preserve">   |   Einrichtung &amp; Zugriff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88" w:lineRule="auto" w:after="120"/>
    </w:pPr>
    <w:rPr>
      <w:rFonts w:ascii="Calibri" w:hAnsi="Calibri"/>
      <w:color w:val="26344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/>
      <w:b/>
      <w:bCs/>
      <w:color w:val="236B8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/>
      <w:b/>
      <w:bCs/>
      <w:color w:val="236B8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17324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76" w:lineRule="auto"/>
      <w:ind w:left="461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76" w:lineRule="auto"/>
      <w:ind w:left="461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Fuhrpark Cockpit – Ordner und Berechtigungen einrichten</dc:title>
  <dc:subject>Separate Einrichtungsanleitung für Excel-/CSV-basierte Fuhrpark-BI</dc:subject>
  <dc:creator>Fuhrpark Cockpit</dc:creator>
  <cp:keywords>Fuhrpark, Power BI, Ordner, Berechtigungen, Excel, CSV, SharePoint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